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593FA9" w14:textId="49B0F945" w:rsidR="00E44580" w:rsidRDefault="00A67B29">
      <w:pPr>
        <w:outlineLvl w:val="0"/>
        <w:rPr>
          <w:rFonts w:cs="Times New Roman"/>
          <w:color w:val="7F7F7F" w:themeColor="text1" w:themeTint="80"/>
          <w:sz w:val="16"/>
          <w:lang w:val="id-ID"/>
        </w:rPr>
      </w:pPr>
      <w:proofErr w:type="spellStart"/>
      <w:r w:rsidRPr="00A67B29">
        <w:rPr>
          <w:rFonts w:cs="Times New Roman"/>
          <w:color w:val="7F7F7F" w:themeColor="text1" w:themeTint="80"/>
          <w:sz w:val="16"/>
          <w:lang w:val="id-ID"/>
        </w:rPr>
        <w:t>Research</w:t>
      </w:r>
      <w:proofErr w:type="spellEnd"/>
      <w:r w:rsidR="00632B4B">
        <w:rPr>
          <w:rFonts w:cs="Times New Roman"/>
          <w:color w:val="7F7F7F" w:themeColor="text1" w:themeTint="80"/>
          <w:sz w:val="16"/>
          <w:lang w:val="id-ID"/>
        </w:rPr>
        <w:t xml:space="preserve"> </w:t>
      </w:r>
      <w:proofErr w:type="spellStart"/>
      <w:r w:rsidRPr="00A67B29">
        <w:rPr>
          <w:rFonts w:cs="Times New Roman"/>
          <w:color w:val="7F7F7F" w:themeColor="text1" w:themeTint="80"/>
          <w:sz w:val="16"/>
          <w:lang w:val="id-ID"/>
        </w:rPr>
        <w:t>Article</w:t>
      </w:r>
      <w:proofErr w:type="spellEnd"/>
    </w:p>
    <w:p w14:paraId="78EBF568" w14:textId="77777777" w:rsidR="00E44580" w:rsidRDefault="00E71881">
      <w:pPr>
        <w:pStyle w:val="Author"/>
        <w:outlineLvl w:val="0"/>
        <w:rPr>
          <w:rFonts w:eastAsiaTheme="majorEastAsia" w:cstheme="majorBidi"/>
          <w:b/>
          <w:i w:val="0"/>
          <w:iCs/>
          <w:spacing w:val="-10"/>
          <w:kern w:val="28"/>
          <w:sz w:val="32"/>
          <w:szCs w:val="56"/>
        </w:rPr>
      </w:pPr>
      <w:r>
        <w:rPr>
          <w:rFonts w:eastAsiaTheme="majorEastAsia" w:cstheme="majorBidi"/>
          <w:b/>
          <w:i w:val="0"/>
          <w:iCs/>
          <w:spacing w:val="-10"/>
          <w:kern w:val="28"/>
          <w:sz w:val="32"/>
          <w:szCs w:val="56"/>
          <w:lang w:val="id-ID"/>
        </w:rPr>
        <w:t>DESIGN OF BENDING DIES FOR BRACKET REAR SPRING FRONT 2 BASED ON CAE SPRINGBACK ANALYSIS</w:t>
      </w:r>
    </w:p>
    <w:p w14:paraId="0F328DC5" w14:textId="77777777" w:rsidR="00E44580" w:rsidRDefault="00E71881">
      <w:pPr>
        <w:pStyle w:val="Affiliation"/>
        <w:rPr>
          <w:rFonts w:cs="Times New Roman"/>
          <w:sz w:val="24"/>
          <w:lang w:val="id-ID"/>
        </w:rPr>
      </w:pPr>
      <w:proofErr w:type="spellStart"/>
      <w:r>
        <w:rPr>
          <w:rFonts w:cs="Times New Roman"/>
          <w:sz w:val="24"/>
        </w:rPr>
        <w:t>Ridho</w:t>
      </w:r>
      <w:proofErr w:type="spellEnd"/>
      <w:r>
        <w:rPr>
          <w:rFonts w:cs="Times New Roman"/>
          <w:sz w:val="24"/>
        </w:rPr>
        <w:t xml:space="preserve"> Hans Gurning</w:t>
      </w:r>
      <w:r>
        <w:rPr>
          <w:rFonts w:cs="Times New Roman"/>
          <w:sz w:val="24"/>
          <w:vertAlign w:val="superscript"/>
        </w:rPr>
        <w:t>1</w:t>
      </w:r>
      <w:r>
        <w:rPr>
          <w:rFonts w:cs="Times New Roman"/>
          <w:sz w:val="24"/>
        </w:rPr>
        <w:t>, Abdul Wahid Arohman</w:t>
      </w:r>
      <w:r>
        <w:rPr>
          <w:rFonts w:cs="Times New Roman"/>
          <w:sz w:val="24"/>
          <w:vertAlign w:val="superscript"/>
        </w:rPr>
        <w:t>1</w:t>
      </w:r>
      <w:r>
        <w:rPr>
          <w:rFonts w:cs="Times New Roman"/>
          <w:sz w:val="24"/>
        </w:rPr>
        <w:t xml:space="preserve">, Edwin </w:t>
      </w:r>
      <w:proofErr w:type="spellStart"/>
      <w:r>
        <w:rPr>
          <w:rFonts w:cs="Times New Roman"/>
          <w:sz w:val="24"/>
        </w:rPr>
        <w:t>Sahrial</w:t>
      </w:r>
      <w:proofErr w:type="spellEnd"/>
      <w:r>
        <w:rPr>
          <w:rFonts w:cs="Times New Roman"/>
          <w:sz w:val="24"/>
        </w:rPr>
        <w:t xml:space="preserve"> Solih</w:t>
      </w:r>
      <w:r>
        <w:rPr>
          <w:rFonts w:cs="Times New Roman"/>
          <w:sz w:val="24"/>
          <w:vertAlign w:val="superscript"/>
        </w:rPr>
        <w:t>1</w:t>
      </w:r>
      <w:r>
        <w:rPr>
          <w:rFonts w:cs="Times New Roman"/>
          <w:sz w:val="24"/>
        </w:rPr>
        <w:t>, Sanurya Putri Purbaningrum</w:t>
      </w:r>
      <w:r>
        <w:rPr>
          <w:rFonts w:cs="Times New Roman"/>
          <w:sz w:val="24"/>
          <w:vertAlign w:val="superscript"/>
        </w:rPr>
        <w:t>1</w:t>
      </w:r>
      <w:r>
        <w:rPr>
          <w:rFonts w:cs="Times New Roman"/>
          <w:sz w:val="24"/>
        </w:rPr>
        <w:t xml:space="preserve">, </w:t>
      </w:r>
      <w:proofErr w:type="spellStart"/>
      <w:r>
        <w:rPr>
          <w:rFonts w:cs="Times New Roman"/>
          <w:sz w:val="24"/>
        </w:rPr>
        <w:t>Teguh</w:t>
      </w:r>
      <w:proofErr w:type="spellEnd"/>
      <w:r>
        <w:rPr>
          <w:rFonts w:cs="Times New Roman"/>
          <w:sz w:val="24"/>
        </w:rPr>
        <w:t xml:space="preserve"> Fathurohman</w:t>
      </w:r>
      <w:r>
        <w:rPr>
          <w:rFonts w:cs="Times New Roman"/>
          <w:sz w:val="24"/>
          <w:vertAlign w:val="superscript"/>
        </w:rPr>
        <w:t>1</w:t>
      </w:r>
    </w:p>
    <w:p w14:paraId="21758321" w14:textId="77777777" w:rsidR="00E44580" w:rsidRDefault="00E71881">
      <w:pPr>
        <w:pStyle w:val="Affiliation"/>
        <w:rPr>
          <w:lang w:val="id-ID"/>
        </w:rPr>
      </w:pPr>
      <w:r>
        <w:rPr>
          <w:vertAlign w:val="superscript"/>
          <w:lang w:val="id-ID"/>
        </w:rPr>
        <w:t>1</w:t>
      </w:r>
      <w:r>
        <w:rPr>
          <w:lang w:val="id-ID"/>
        </w:rPr>
        <w:t xml:space="preserve"> </w:t>
      </w:r>
      <w:proofErr w:type="spellStart"/>
      <w:r>
        <w:rPr>
          <w:lang w:val="id-ID"/>
        </w:rPr>
        <w:t>Polytechnic</w:t>
      </w:r>
      <w:proofErr w:type="spellEnd"/>
      <w:r>
        <w:rPr>
          <w:lang w:val="id-ID"/>
        </w:rPr>
        <w:t xml:space="preserve"> STMI  Jakarta, Jl. Letjen Suprapto No. 26, Cempaka Putih, </w:t>
      </w:r>
      <w:proofErr w:type="spellStart"/>
      <w:r>
        <w:rPr>
          <w:lang w:val="id-ID"/>
        </w:rPr>
        <w:t>Central</w:t>
      </w:r>
      <w:proofErr w:type="spellEnd"/>
      <w:r>
        <w:rPr>
          <w:lang w:val="id-ID"/>
        </w:rPr>
        <w:t xml:space="preserve"> Jakarta, Indonesia, 10510</w:t>
      </w:r>
    </w:p>
    <w:p w14:paraId="3434442F" w14:textId="77777777" w:rsidR="00E44580" w:rsidRDefault="00E44580">
      <w:pPr>
        <w:pBdr>
          <w:bottom w:val="single" w:sz="8" w:space="1" w:color="auto"/>
        </w:pBdr>
        <w:rPr>
          <w:lang w:val="id-ID"/>
        </w:rPr>
      </w:pPr>
    </w:p>
    <w:p w14:paraId="54288595" w14:textId="77777777" w:rsidR="00E44580" w:rsidRDefault="00E44580">
      <w:pPr>
        <w:rPr>
          <w:lang w:val="id-ID"/>
        </w:rPr>
      </w:pPr>
    </w:p>
    <w:p w14:paraId="31997C0C" w14:textId="77777777" w:rsidR="00E44580" w:rsidRDefault="00E44580">
      <w:pPr>
        <w:rPr>
          <w:lang w:val="id-ID"/>
        </w:rPr>
      </w:pPr>
    </w:p>
    <w:tbl>
      <w:tblPr>
        <w:tblStyle w:val="TableGrid"/>
        <w:tblW w:w="99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56"/>
        <w:gridCol w:w="580"/>
        <w:gridCol w:w="5898"/>
      </w:tblGrid>
      <w:tr w:rsidR="00E44580" w14:paraId="7939EFC6" w14:textId="77777777">
        <w:trPr>
          <w:trHeight w:val="348"/>
        </w:trPr>
        <w:tc>
          <w:tcPr>
            <w:tcW w:w="3456" w:type="dxa"/>
            <w:tcBorders>
              <w:bottom w:val="single" w:sz="8" w:space="0" w:color="auto"/>
            </w:tcBorders>
            <w:shd w:val="clear" w:color="auto" w:fill="F2F2F2" w:themeFill="background1" w:themeFillShade="F2"/>
          </w:tcPr>
          <w:p w14:paraId="6838A6CF" w14:textId="77777777" w:rsidR="00E44580" w:rsidRDefault="00E71881">
            <w:pPr>
              <w:spacing w:before="60" w:after="60"/>
              <w:jc w:val="left"/>
              <w:rPr>
                <w:smallCaps/>
                <w:sz w:val="20"/>
                <w:szCs w:val="20"/>
              </w:rPr>
            </w:pPr>
            <w:r>
              <w:rPr>
                <w:smallCaps/>
                <w:sz w:val="20"/>
                <w:szCs w:val="20"/>
              </w:rPr>
              <w:t>ARTICLE INFO</w:t>
            </w:r>
          </w:p>
        </w:tc>
        <w:tc>
          <w:tcPr>
            <w:tcW w:w="580" w:type="dxa"/>
            <w:vMerge w:val="restart"/>
          </w:tcPr>
          <w:p w14:paraId="606433DB" w14:textId="77777777" w:rsidR="00E44580" w:rsidRDefault="00E44580">
            <w:pPr>
              <w:spacing w:after="120"/>
              <w:jc w:val="left"/>
              <w:rPr>
                <w:sz w:val="20"/>
                <w:lang w:val="id-ID"/>
              </w:rPr>
            </w:pPr>
          </w:p>
        </w:tc>
        <w:tc>
          <w:tcPr>
            <w:tcW w:w="5898" w:type="dxa"/>
            <w:tcBorders>
              <w:bottom w:val="single" w:sz="8" w:space="0" w:color="auto"/>
            </w:tcBorders>
          </w:tcPr>
          <w:p w14:paraId="7F263E88" w14:textId="77777777" w:rsidR="00E44580" w:rsidRDefault="00E71881">
            <w:pPr>
              <w:spacing w:after="120"/>
              <w:jc w:val="left"/>
              <w:rPr>
                <w:b/>
                <w:bCs/>
                <w:spacing w:val="100"/>
                <w:sz w:val="20"/>
                <w:szCs w:val="20"/>
              </w:rPr>
            </w:pPr>
            <w:r>
              <w:rPr>
                <w:b/>
                <w:bCs/>
                <w:spacing w:val="100"/>
                <w:sz w:val="20"/>
                <w:szCs w:val="20"/>
              </w:rPr>
              <w:t>ABTRACT</w:t>
            </w:r>
          </w:p>
        </w:tc>
      </w:tr>
      <w:tr w:rsidR="00E44580" w14:paraId="4AC28586" w14:textId="77777777">
        <w:trPr>
          <w:trHeight w:val="940"/>
        </w:trPr>
        <w:tc>
          <w:tcPr>
            <w:tcW w:w="3456" w:type="dxa"/>
            <w:tcBorders>
              <w:top w:val="single" w:sz="8" w:space="0" w:color="auto"/>
            </w:tcBorders>
          </w:tcPr>
          <w:p w14:paraId="3EB06F3F" w14:textId="77777777" w:rsidR="00E44580" w:rsidRDefault="00E44580">
            <w:pPr>
              <w:spacing w:before="120"/>
              <w:rPr>
                <w:i/>
                <w:sz w:val="16"/>
                <w:lang w:val="id-ID"/>
              </w:rPr>
            </w:pPr>
          </w:p>
          <w:p w14:paraId="11A8A885" w14:textId="5EB6FB3D" w:rsidR="00E44580" w:rsidRDefault="00E71881">
            <w:pPr>
              <w:rPr>
                <w:sz w:val="16"/>
                <w:lang w:val="id-ID"/>
              </w:rPr>
            </w:pPr>
            <w:r>
              <w:rPr>
                <w:sz w:val="16"/>
              </w:rPr>
              <w:t xml:space="preserve">Received        </w:t>
            </w:r>
            <w:proofErr w:type="gramStart"/>
            <w:r>
              <w:rPr>
                <w:sz w:val="16"/>
              </w:rPr>
              <w:t xml:space="preserve">  </w:t>
            </w:r>
            <w:r>
              <w:rPr>
                <w:sz w:val="16"/>
                <w:lang w:val="id-ID"/>
              </w:rPr>
              <w:t>:</w:t>
            </w:r>
            <w:proofErr w:type="gramEnd"/>
            <w:r>
              <w:rPr>
                <w:sz w:val="16"/>
                <w:lang w:val="id-ID"/>
              </w:rPr>
              <w:t xml:space="preserve"> </w:t>
            </w:r>
            <w:r w:rsidR="00A67B29">
              <w:rPr>
                <w:sz w:val="16"/>
                <w:lang w:val="id-ID"/>
              </w:rPr>
              <w:t>16 May 2025</w:t>
            </w:r>
          </w:p>
          <w:p w14:paraId="0E55A79F" w14:textId="0A57A8BA" w:rsidR="00E44580" w:rsidRDefault="00E71881">
            <w:pPr>
              <w:rPr>
                <w:sz w:val="16"/>
                <w:lang w:val="id-ID"/>
              </w:rPr>
            </w:pPr>
            <w:r>
              <w:rPr>
                <w:sz w:val="16"/>
              </w:rPr>
              <w:t xml:space="preserve">Revised          </w:t>
            </w:r>
            <w:proofErr w:type="gramStart"/>
            <w:r>
              <w:rPr>
                <w:sz w:val="16"/>
              </w:rPr>
              <w:t xml:space="preserve">  </w:t>
            </w:r>
            <w:r>
              <w:rPr>
                <w:sz w:val="16"/>
                <w:lang w:val="id-ID"/>
              </w:rPr>
              <w:t>:</w:t>
            </w:r>
            <w:proofErr w:type="gramEnd"/>
            <w:r>
              <w:rPr>
                <w:sz w:val="16"/>
                <w:lang w:val="id-ID"/>
              </w:rPr>
              <w:t xml:space="preserve"> </w:t>
            </w:r>
            <w:r w:rsidR="00A67B29">
              <w:rPr>
                <w:sz w:val="16"/>
                <w:lang w:val="id-ID"/>
              </w:rPr>
              <w:t>24 Januari 2026</w:t>
            </w:r>
          </w:p>
          <w:p w14:paraId="070C462C" w14:textId="248B5085" w:rsidR="00E44580" w:rsidRDefault="00E71881">
            <w:pPr>
              <w:rPr>
                <w:sz w:val="16"/>
                <w:lang w:val="id-ID"/>
              </w:rPr>
            </w:pPr>
            <w:r>
              <w:rPr>
                <w:sz w:val="16"/>
              </w:rPr>
              <w:t xml:space="preserve">Accepted        </w:t>
            </w:r>
            <w:proofErr w:type="gramStart"/>
            <w:r>
              <w:rPr>
                <w:sz w:val="16"/>
              </w:rPr>
              <w:t xml:space="preserve">  </w:t>
            </w:r>
            <w:r>
              <w:rPr>
                <w:sz w:val="16"/>
                <w:lang w:val="id-ID"/>
              </w:rPr>
              <w:t>:</w:t>
            </w:r>
            <w:proofErr w:type="gramEnd"/>
            <w:r>
              <w:rPr>
                <w:sz w:val="16"/>
                <w:lang w:val="id-ID"/>
              </w:rPr>
              <w:t xml:space="preserve"> </w:t>
            </w:r>
            <w:r w:rsidR="00F859E5">
              <w:rPr>
                <w:sz w:val="16"/>
                <w:lang w:val="id-ID"/>
              </w:rPr>
              <w:t>26 Agustus 2026</w:t>
            </w:r>
          </w:p>
          <w:p w14:paraId="7CECBD6E" w14:textId="77777777" w:rsidR="00E44580" w:rsidRDefault="00E44580">
            <w:pPr>
              <w:rPr>
                <w:lang w:val="id-ID"/>
              </w:rPr>
            </w:pPr>
          </w:p>
        </w:tc>
        <w:tc>
          <w:tcPr>
            <w:tcW w:w="580" w:type="dxa"/>
            <w:vMerge/>
          </w:tcPr>
          <w:p w14:paraId="212C0EB0" w14:textId="77777777" w:rsidR="00E44580" w:rsidRDefault="00E44580">
            <w:pPr>
              <w:rPr>
                <w:lang w:val="id-ID"/>
              </w:rPr>
            </w:pPr>
          </w:p>
        </w:tc>
        <w:tc>
          <w:tcPr>
            <w:tcW w:w="5898" w:type="dxa"/>
            <w:vMerge w:val="restart"/>
            <w:tcBorders>
              <w:top w:val="single" w:sz="8" w:space="0" w:color="auto"/>
            </w:tcBorders>
          </w:tcPr>
          <w:p w14:paraId="323C34CE" w14:textId="77777777" w:rsidR="00E44580" w:rsidRDefault="00E71881">
            <w:pPr>
              <w:pStyle w:val="Abstract"/>
              <w:jc w:val="both"/>
              <w:rPr>
                <w:lang w:val="id-ID"/>
              </w:rPr>
            </w:pPr>
            <w:r>
              <w:t xml:space="preserve">This study redesigned the dies bending of automotive components Bracket Rear Spring Front 2 using numerical simulation based on Computer Aided Engineering (CAE), in order to overcome the decrease in geometric precision due to the </w:t>
            </w:r>
            <w:proofErr w:type="spellStart"/>
            <w:r>
              <w:t>springback</w:t>
            </w:r>
            <w:proofErr w:type="spellEnd"/>
            <w:r>
              <w:t xml:space="preserve"> phenomenon. The analyzed components showed a significant decrease in accuracy, from 98.72% to 53.84%, which was identified through fixture checking measurements and 3D metrology. Simulations were performed on four bending angle variations (88.5°, 89°, 90°, and 90.92°) to evaluate final angle deviation and dimensional accuracy. The results showed that an angle of 88.5° resulted in the highest accuracy of 92.31%, with a minimum deviation to the shape of the design. Validation is carried out through comparison of the simulation results with the actual parts on the surface clearance and trimming line parameters, which shows high conformity. Statistical analysis yielded a Root Mean Square Error (RMSE) value of 0.67° and a coefficient of accuracy variation of 3.12%, indicating consistency between configurations and the effectiveness of the approach. These findings reinforce the role of CAE as a prescriptive tool in industrial anniversary redesign, particularly for older tooling that lacks technical documentation. This approach not only improves manufacturing accuracy and efficiency, but can also be replicated for tooling rehabilitation in the process of forming high-precision metals in the automotive sector.</w:t>
            </w:r>
          </w:p>
        </w:tc>
      </w:tr>
      <w:tr w:rsidR="00E44580" w14:paraId="1A3BDDEB" w14:textId="77777777">
        <w:trPr>
          <w:trHeight w:val="348"/>
        </w:trPr>
        <w:tc>
          <w:tcPr>
            <w:tcW w:w="3456" w:type="dxa"/>
            <w:tcBorders>
              <w:bottom w:val="single" w:sz="8" w:space="0" w:color="auto"/>
            </w:tcBorders>
            <w:shd w:val="clear" w:color="auto" w:fill="F2F2F2" w:themeFill="background1" w:themeFillShade="F2"/>
          </w:tcPr>
          <w:p w14:paraId="2389327C" w14:textId="77777777" w:rsidR="00E44580" w:rsidRDefault="00E71881">
            <w:pPr>
              <w:spacing w:before="60" w:after="60"/>
              <w:rPr>
                <w:smallCaps/>
                <w:sz w:val="20"/>
                <w:szCs w:val="20"/>
              </w:rPr>
            </w:pPr>
            <w:r>
              <w:rPr>
                <w:smallCaps/>
                <w:sz w:val="20"/>
                <w:szCs w:val="20"/>
              </w:rPr>
              <w:t>KEYWORDS</w:t>
            </w:r>
          </w:p>
        </w:tc>
        <w:tc>
          <w:tcPr>
            <w:tcW w:w="580" w:type="dxa"/>
            <w:vMerge/>
          </w:tcPr>
          <w:p w14:paraId="6162797D" w14:textId="77777777" w:rsidR="00E44580" w:rsidRDefault="00E44580">
            <w:pPr>
              <w:spacing w:after="120"/>
              <w:rPr>
                <w:sz w:val="20"/>
                <w:lang w:val="id-ID"/>
              </w:rPr>
            </w:pPr>
          </w:p>
        </w:tc>
        <w:tc>
          <w:tcPr>
            <w:tcW w:w="5898" w:type="dxa"/>
            <w:vMerge/>
          </w:tcPr>
          <w:p w14:paraId="19DBA454" w14:textId="77777777" w:rsidR="00E44580" w:rsidRDefault="00E44580">
            <w:pPr>
              <w:spacing w:after="120"/>
              <w:rPr>
                <w:sz w:val="20"/>
                <w:lang w:val="id-ID"/>
              </w:rPr>
            </w:pPr>
          </w:p>
        </w:tc>
      </w:tr>
      <w:tr w:rsidR="00E44580" w14:paraId="29A4E5B3" w14:textId="77777777">
        <w:trPr>
          <w:trHeight w:val="278"/>
        </w:trPr>
        <w:tc>
          <w:tcPr>
            <w:tcW w:w="3456" w:type="dxa"/>
            <w:tcBorders>
              <w:top w:val="single" w:sz="8" w:space="0" w:color="auto"/>
            </w:tcBorders>
          </w:tcPr>
          <w:p w14:paraId="05BD4B14" w14:textId="77777777" w:rsidR="00E44580" w:rsidRDefault="00E71881">
            <w:pPr>
              <w:spacing w:before="120" w:after="120"/>
              <w:jc w:val="left"/>
              <w:rPr>
                <w:lang w:val="id-ID"/>
              </w:rPr>
            </w:pPr>
            <w:r>
              <w:rPr>
                <w:sz w:val="16"/>
                <w:szCs w:val="22"/>
              </w:rPr>
              <w:t xml:space="preserve">Dies Bending, Numerical Simulation, </w:t>
            </w:r>
            <w:proofErr w:type="spellStart"/>
            <w:r>
              <w:rPr>
                <w:sz w:val="16"/>
                <w:szCs w:val="22"/>
              </w:rPr>
              <w:t>Springback</w:t>
            </w:r>
            <w:proofErr w:type="spellEnd"/>
            <w:r>
              <w:rPr>
                <w:sz w:val="16"/>
                <w:szCs w:val="22"/>
              </w:rPr>
              <w:t>, Computer Aided Engineering, Front Spring Back Bracket 2</w:t>
            </w:r>
          </w:p>
        </w:tc>
        <w:tc>
          <w:tcPr>
            <w:tcW w:w="580" w:type="dxa"/>
            <w:vMerge/>
          </w:tcPr>
          <w:p w14:paraId="49F5F56A" w14:textId="77777777" w:rsidR="00E44580" w:rsidRDefault="00E44580">
            <w:pPr>
              <w:rPr>
                <w:lang w:val="id-ID"/>
              </w:rPr>
            </w:pPr>
          </w:p>
        </w:tc>
        <w:tc>
          <w:tcPr>
            <w:tcW w:w="5898" w:type="dxa"/>
            <w:vMerge/>
          </w:tcPr>
          <w:p w14:paraId="7BD4B15B" w14:textId="77777777" w:rsidR="00E44580" w:rsidRDefault="00E44580">
            <w:pPr>
              <w:rPr>
                <w:lang w:val="id-ID"/>
              </w:rPr>
            </w:pPr>
          </w:p>
        </w:tc>
      </w:tr>
      <w:tr w:rsidR="00E44580" w14:paraId="4E896BC6" w14:textId="77777777">
        <w:trPr>
          <w:trHeight w:val="278"/>
        </w:trPr>
        <w:tc>
          <w:tcPr>
            <w:tcW w:w="3456" w:type="dxa"/>
            <w:tcBorders>
              <w:bottom w:val="single" w:sz="8" w:space="0" w:color="auto"/>
            </w:tcBorders>
            <w:shd w:val="clear" w:color="auto" w:fill="F2F2F2" w:themeFill="background1" w:themeFillShade="F2"/>
          </w:tcPr>
          <w:p w14:paraId="360CBE66" w14:textId="77777777" w:rsidR="00E44580" w:rsidRDefault="00E71881">
            <w:pPr>
              <w:spacing w:before="60" w:after="60"/>
              <w:rPr>
                <w:smallCaps/>
                <w:szCs w:val="20"/>
                <w:lang w:val="id-ID"/>
              </w:rPr>
            </w:pPr>
            <w:r>
              <w:rPr>
                <w:smallCaps/>
                <w:sz w:val="20"/>
                <w:szCs w:val="20"/>
                <w:lang w:val="id-ID"/>
              </w:rPr>
              <w:t>Korespondensi</w:t>
            </w:r>
          </w:p>
        </w:tc>
        <w:tc>
          <w:tcPr>
            <w:tcW w:w="580" w:type="dxa"/>
            <w:vMerge/>
          </w:tcPr>
          <w:p w14:paraId="21F115A4" w14:textId="77777777" w:rsidR="00E44580" w:rsidRDefault="00E44580">
            <w:pPr>
              <w:rPr>
                <w:lang w:val="id-ID"/>
              </w:rPr>
            </w:pPr>
          </w:p>
        </w:tc>
        <w:tc>
          <w:tcPr>
            <w:tcW w:w="5898" w:type="dxa"/>
            <w:vMerge/>
          </w:tcPr>
          <w:p w14:paraId="38D7EC1A" w14:textId="77777777" w:rsidR="00E44580" w:rsidRDefault="00E44580">
            <w:pPr>
              <w:rPr>
                <w:lang w:val="id-ID"/>
              </w:rPr>
            </w:pPr>
          </w:p>
        </w:tc>
      </w:tr>
      <w:tr w:rsidR="00E44580" w14:paraId="531A99F4" w14:textId="77777777">
        <w:trPr>
          <w:trHeight w:val="278"/>
        </w:trPr>
        <w:tc>
          <w:tcPr>
            <w:tcW w:w="3456" w:type="dxa"/>
            <w:tcBorders>
              <w:top w:val="single" w:sz="8" w:space="0" w:color="auto"/>
              <w:bottom w:val="single" w:sz="8" w:space="0" w:color="auto"/>
            </w:tcBorders>
          </w:tcPr>
          <w:p w14:paraId="08F86BF7" w14:textId="77777777" w:rsidR="00E44580" w:rsidRDefault="00E71881">
            <w:pPr>
              <w:rPr>
                <w:sz w:val="16"/>
                <w:lang w:val="id-ID"/>
              </w:rPr>
            </w:pPr>
            <w:r>
              <w:rPr>
                <w:sz w:val="16"/>
                <w:lang w:val="id-ID"/>
              </w:rPr>
              <w:t>ridhohans@stmi.ac.id</w:t>
            </w:r>
          </w:p>
          <w:p w14:paraId="3D529ED3" w14:textId="77777777" w:rsidR="00E44580" w:rsidRDefault="00E44580">
            <w:pPr>
              <w:rPr>
                <w:sz w:val="16"/>
                <w:lang w:val="id-ID"/>
              </w:rPr>
            </w:pPr>
          </w:p>
        </w:tc>
        <w:tc>
          <w:tcPr>
            <w:tcW w:w="580" w:type="dxa"/>
            <w:vMerge/>
          </w:tcPr>
          <w:p w14:paraId="25A3D20E" w14:textId="77777777" w:rsidR="00E44580" w:rsidRDefault="00E44580">
            <w:pPr>
              <w:rPr>
                <w:lang w:val="id-ID"/>
              </w:rPr>
            </w:pPr>
          </w:p>
        </w:tc>
        <w:tc>
          <w:tcPr>
            <w:tcW w:w="5898" w:type="dxa"/>
            <w:vMerge/>
            <w:tcBorders>
              <w:bottom w:val="single" w:sz="8" w:space="0" w:color="auto"/>
            </w:tcBorders>
          </w:tcPr>
          <w:p w14:paraId="18BE2EEB" w14:textId="77777777" w:rsidR="00E44580" w:rsidRDefault="00E44580">
            <w:pPr>
              <w:rPr>
                <w:lang w:val="id-ID"/>
              </w:rPr>
            </w:pPr>
          </w:p>
        </w:tc>
      </w:tr>
    </w:tbl>
    <w:p w14:paraId="3E910267" w14:textId="77777777" w:rsidR="00E44580" w:rsidRDefault="00E44580">
      <w:pPr>
        <w:rPr>
          <w:lang w:val="id-ID"/>
        </w:rPr>
        <w:sectPr w:rsidR="00E44580" w:rsidSect="00FB38D5">
          <w:headerReference w:type="even" r:id="rId8"/>
          <w:headerReference w:type="default" r:id="rId9"/>
          <w:footerReference w:type="even" r:id="rId10"/>
          <w:footerReference w:type="default" r:id="rId11"/>
          <w:headerReference w:type="first" r:id="rId12"/>
          <w:footerReference w:type="first" r:id="rId13"/>
          <w:type w:val="continuous"/>
          <w:pgSz w:w="11900" w:h="16840"/>
          <w:pgMar w:top="2637" w:right="851" w:bottom="1134" w:left="1134" w:header="851" w:footer="851" w:gutter="0"/>
          <w:pgNumType w:start="62"/>
          <w:cols w:space="708"/>
          <w:titlePg/>
          <w:docGrid w:linePitch="360"/>
        </w:sectPr>
      </w:pPr>
    </w:p>
    <w:p w14:paraId="5C15FE4F" w14:textId="77777777" w:rsidR="00E44580" w:rsidRDefault="00E71881">
      <w:pPr>
        <w:pStyle w:val="Heading1"/>
        <w:numPr>
          <w:ilvl w:val="0"/>
          <w:numId w:val="0"/>
        </w:numPr>
        <w:rPr>
          <w:lang w:val="en-US"/>
        </w:rPr>
      </w:pPr>
      <w:r>
        <w:rPr>
          <w:lang w:val="en-US"/>
        </w:rPr>
        <w:t xml:space="preserve">INTRODUCTION </w:t>
      </w:r>
    </w:p>
    <w:p w14:paraId="52CA152F" w14:textId="77777777" w:rsidR="00E44580" w:rsidRDefault="00E71881">
      <w:pPr>
        <w:rPr>
          <w:sz w:val="20"/>
          <w:szCs w:val="20"/>
          <w:lang w:val="id-ID"/>
        </w:rPr>
      </w:pPr>
      <w:r>
        <w:rPr>
          <w:sz w:val="20"/>
          <w:szCs w:val="20"/>
        </w:rPr>
        <w:t xml:space="preserve">The development of modern manufacturing technology, particularly in the automotive sector, has demanded an increasingly sophisticated approach to the metal forming process. One of the most crucial processes is the forming of sheet metal through the bending method, which is widely used in the production of structural and functional components of vehicles due to its efficiency in cost and its ability for mass production (Altan et al., 2005). However, the bending process has a fundamental challenge in the form of </w:t>
      </w:r>
      <w:proofErr w:type="spellStart"/>
      <w:r>
        <w:rPr>
          <w:sz w:val="20"/>
          <w:szCs w:val="20"/>
        </w:rPr>
        <w:t>springback</w:t>
      </w:r>
      <w:proofErr w:type="spellEnd"/>
      <w:r>
        <w:rPr>
          <w:sz w:val="20"/>
          <w:szCs w:val="20"/>
        </w:rPr>
        <w:t xml:space="preserve">, which is the tendency of metal materials to partially return to their original shape due to elastic recovery, which leads to dimensional inaccuracies and decreased product quality (Yang et al., 2012; Buang et al., 2015). </w:t>
      </w:r>
      <w:proofErr w:type="spellStart"/>
      <w:r>
        <w:rPr>
          <w:sz w:val="20"/>
          <w:szCs w:val="20"/>
        </w:rPr>
        <w:t>Springback</w:t>
      </w:r>
      <w:proofErr w:type="spellEnd"/>
      <w:r>
        <w:rPr>
          <w:sz w:val="20"/>
          <w:szCs w:val="20"/>
        </w:rPr>
        <w:t xml:space="preserve"> problems are not just small tolerance deviations, but can have a significant impact on assembly precision and lead to wastage due to a high number of </w:t>
      </w:r>
      <w:r>
        <w:rPr>
          <w:sz w:val="20"/>
          <w:szCs w:val="20"/>
        </w:rPr>
        <w:t xml:space="preserve">rework or product failures. This problem is very critical, especially in components with tight dimensional tolerances, such as the rear spring front 2 bracket, which is a structural component of a vehicle that functions to connect the damper system to the vehicle frame. Based on the latest production data, the accuracy level of this component has decreased drastically from 98.72% to 53.84%, which is suspected to be caused by geometric changes due to uncontrolled </w:t>
      </w:r>
      <w:proofErr w:type="spellStart"/>
      <w:r>
        <w:rPr>
          <w:sz w:val="20"/>
          <w:szCs w:val="20"/>
        </w:rPr>
        <w:t>springbacks</w:t>
      </w:r>
      <w:proofErr w:type="spellEnd"/>
      <w:r>
        <w:rPr>
          <w:sz w:val="20"/>
          <w:szCs w:val="20"/>
        </w:rPr>
        <w:t xml:space="preserve"> during the bending process. The inspection results showed that the trimming line, surface line, and hole position did not match the reference sample, indicating geometric deformation due to the age of the dies that have been used for more than 27 years. Based on internal industry standards, dies with an accuracy below 65% or older than 10 years are mandatory (ASTM E290-14, 2014; company standards, 2023). The design of the dies and the integrity of the tool greatly determine the dimensional stability of the bending process. Conventional design methods that still rely on empirical </w:t>
      </w:r>
      <w:r>
        <w:rPr>
          <w:sz w:val="20"/>
          <w:szCs w:val="20"/>
        </w:rPr>
        <w:lastRenderedPageBreak/>
        <w:t>and trial and error approaches are considered inefficient in the context of modern manufacturing. Therefore, a based simulation approach through Computer Aided Engineering (CAE) is becoming an increasingly reliable solution, as it allows predicting the deformation behavior of materials before the production process is physically carried out (</w:t>
      </w:r>
      <w:proofErr w:type="spellStart"/>
      <w:r>
        <w:rPr>
          <w:sz w:val="20"/>
          <w:szCs w:val="20"/>
        </w:rPr>
        <w:t>Lakkannavar</w:t>
      </w:r>
      <w:proofErr w:type="spellEnd"/>
      <w:r>
        <w:rPr>
          <w:sz w:val="20"/>
          <w:szCs w:val="20"/>
        </w:rPr>
        <w:t xml:space="preserve"> &amp; </w:t>
      </w:r>
      <w:proofErr w:type="spellStart"/>
      <w:r>
        <w:rPr>
          <w:sz w:val="20"/>
          <w:szCs w:val="20"/>
        </w:rPr>
        <w:t>Kattimani</w:t>
      </w:r>
      <w:proofErr w:type="spellEnd"/>
      <w:r>
        <w:rPr>
          <w:sz w:val="20"/>
          <w:szCs w:val="20"/>
        </w:rPr>
        <w:t xml:space="preserve">, 2014; Mat </w:t>
      </w:r>
      <w:proofErr w:type="spellStart"/>
      <w:r>
        <w:rPr>
          <w:sz w:val="20"/>
          <w:szCs w:val="20"/>
        </w:rPr>
        <w:t>Dzahir</w:t>
      </w:r>
      <w:proofErr w:type="spellEnd"/>
      <w:r>
        <w:rPr>
          <w:sz w:val="20"/>
          <w:szCs w:val="20"/>
        </w:rPr>
        <w:t xml:space="preserve"> et al., 2007). CAE, particularly through the finite element analysis (FEA) method, provides in-depth information on stress-strain distribution, </w:t>
      </w:r>
      <w:proofErr w:type="spellStart"/>
      <w:r>
        <w:rPr>
          <w:sz w:val="20"/>
          <w:szCs w:val="20"/>
        </w:rPr>
        <w:t>springback</w:t>
      </w:r>
      <w:proofErr w:type="spellEnd"/>
      <w:r>
        <w:rPr>
          <w:sz w:val="20"/>
          <w:szCs w:val="20"/>
        </w:rPr>
        <w:t xml:space="preserve"> tendencies, and optimal dies geometry design, thereby reducing design iteration cycles and production costs. Various previous studies have shown the effectiveness of integrating process simulation with dies design to reduce defects in metal formation. (Mat </w:t>
      </w:r>
      <w:proofErr w:type="spellStart"/>
      <w:r>
        <w:rPr>
          <w:sz w:val="20"/>
          <w:szCs w:val="20"/>
        </w:rPr>
        <w:t>Dzahir</w:t>
      </w:r>
      <w:proofErr w:type="spellEnd"/>
      <w:r>
        <w:rPr>
          <w:sz w:val="20"/>
          <w:szCs w:val="20"/>
        </w:rPr>
        <w:t xml:space="preserve"> et al., 2007), for example, showed that the integration between the formation simulation and the design of the dies was significantly able to control </w:t>
      </w:r>
      <w:proofErr w:type="spellStart"/>
      <w:r>
        <w:rPr>
          <w:sz w:val="20"/>
          <w:szCs w:val="20"/>
        </w:rPr>
        <w:t>springback</w:t>
      </w:r>
      <w:proofErr w:type="spellEnd"/>
      <w:r>
        <w:rPr>
          <w:sz w:val="20"/>
          <w:szCs w:val="20"/>
        </w:rPr>
        <w:t xml:space="preserve"> in complex automotive components. Similarly, (Wulan and Cahyaningtyas, 2023) applied a CAE-based approach in redesigning dies for the prop support components, which was proven to be able to improve the dimensional suitability of the final product. These studies reinforce the urgency of implementing CAE in the development of modern anniversaries. In response to the problems that occurred, this study aims to redesign the dies bending for the rear spring front 2 bracket component with a CAE simulation-based approach to control and minimize </w:t>
      </w:r>
      <w:proofErr w:type="spellStart"/>
      <w:r>
        <w:rPr>
          <w:sz w:val="20"/>
          <w:szCs w:val="20"/>
        </w:rPr>
        <w:t>springback</w:t>
      </w:r>
      <w:proofErr w:type="spellEnd"/>
      <w:r>
        <w:rPr>
          <w:sz w:val="20"/>
          <w:szCs w:val="20"/>
        </w:rPr>
        <w:t xml:space="preserve">. Several bending angle parameters—i.e. 88.5°, 89°, 90°, and 90.92°—were evaluated through forming simulations to determine the most effective configuration. The simulation results showed that the bending angle of 88.5° provided the best final accuracy, with an increase in dimensional suitability from 53.84% to 92.31%, exceeding the company's quality threshold. In the context of this study, </w:t>
      </w:r>
      <w:proofErr w:type="spellStart"/>
      <w:r>
        <w:rPr>
          <w:sz w:val="20"/>
          <w:szCs w:val="20"/>
        </w:rPr>
        <w:t>springback</w:t>
      </w:r>
      <w:proofErr w:type="spellEnd"/>
      <w:r>
        <w:rPr>
          <w:sz w:val="20"/>
          <w:szCs w:val="20"/>
        </w:rPr>
        <w:t xml:space="preserve"> is operationally defined as the angular deviation between the designed bend angle and the actual angle after elastic recovery, which is measured through a checking fixture and 3D metrology coordinates. The new design includes 3D CAD models for CAM needs as well as 2D engineering drawings as a fabrication reference. This research not only contributes to improved product quality, but also offers a replicable framework for redesigning dies in similar applications. The significance of this research lies in its contribution to industrial practice through a systematic simulation-based design approach in addressing the </w:t>
      </w:r>
      <w:proofErr w:type="spellStart"/>
      <w:r>
        <w:rPr>
          <w:sz w:val="20"/>
          <w:szCs w:val="20"/>
        </w:rPr>
        <w:t>springback</w:t>
      </w:r>
      <w:proofErr w:type="spellEnd"/>
      <w:r>
        <w:rPr>
          <w:sz w:val="20"/>
          <w:szCs w:val="20"/>
        </w:rPr>
        <w:t xml:space="preserve"> problem that has long been a challenge in the metal forming process. By bridging the gap between theoretical analysis and practical realization, the study supports cost efficiency, manufacturing precision, and the sustainability of production tools in the automotive industry sector.</w:t>
      </w:r>
    </w:p>
    <w:p w14:paraId="2D9B88E9" w14:textId="77777777" w:rsidR="00E44580" w:rsidRDefault="00E71881">
      <w:pPr>
        <w:pStyle w:val="Heading1"/>
        <w:numPr>
          <w:ilvl w:val="0"/>
          <w:numId w:val="0"/>
        </w:numPr>
        <w:rPr>
          <w:lang w:val="en-US"/>
        </w:rPr>
      </w:pPr>
      <w:r>
        <w:t>MET</w:t>
      </w:r>
      <w:r>
        <w:rPr>
          <w:lang w:val="en-US"/>
        </w:rPr>
        <w:t>HOD</w:t>
      </w:r>
    </w:p>
    <w:p w14:paraId="42E02E82" w14:textId="77777777" w:rsidR="00E44580" w:rsidRDefault="00E71881">
      <w:pPr>
        <w:pStyle w:val="Heading2"/>
        <w:spacing w:before="0" w:after="0" w:line="240" w:lineRule="auto"/>
        <w:ind w:left="426" w:hanging="426"/>
        <w:rPr>
          <w:szCs w:val="20"/>
        </w:rPr>
      </w:pPr>
      <w:proofErr w:type="spellStart"/>
      <w:r>
        <w:rPr>
          <w:szCs w:val="20"/>
        </w:rPr>
        <w:t>Research</w:t>
      </w:r>
      <w:proofErr w:type="spellEnd"/>
      <w:r>
        <w:rPr>
          <w:szCs w:val="20"/>
        </w:rPr>
        <w:t xml:space="preserve"> Materials</w:t>
      </w:r>
    </w:p>
    <w:p w14:paraId="2D64FF3A" w14:textId="77777777" w:rsidR="00E44580" w:rsidRDefault="00E71881">
      <w:pPr>
        <w:rPr>
          <w:sz w:val="20"/>
          <w:szCs w:val="20"/>
        </w:rPr>
      </w:pPr>
      <w:r>
        <w:rPr>
          <w:sz w:val="20"/>
          <w:szCs w:val="20"/>
        </w:rPr>
        <w:t xml:space="preserve">The object of this study is the automotive component Bracket Rear Spring Front 2, which is part of the vehicle suspension system that functions to connect the shock absorber to the vehicle frame. This component was chosen because it experienced a significant decrease in accuracy in the production process, from 98.72% to 53.84%. This decrease was known through measurements with a checking fixture and Coordinate Measuring Machine (CMM) which identified deformations on the trimming line, surface line, and hole position. One of the main factors causing this discrepancy is </w:t>
      </w:r>
      <w:proofErr w:type="spellStart"/>
      <w:r>
        <w:rPr>
          <w:sz w:val="20"/>
          <w:szCs w:val="20"/>
        </w:rPr>
        <w:t>springback</w:t>
      </w:r>
      <w:proofErr w:type="spellEnd"/>
      <w:r>
        <w:rPr>
          <w:sz w:val="20"/>
          <w:szCs w:val="20"/>
        </w:rPr>
        <w:t xml:space="preserve">, which is the elastic recovery effect of the metal after the bending process (Yang et al., 2012; Altan, </w:t>
      </w:r>
      <w:proofErr w:type="spellStart"/>
      <w:r>
        <w:rPr>
          <w:sz w:val="20"/>
          <w:szCs w:val="20"/>
        </w:rPr>
        <w:t>Ngaile</w:t>
      </w:r>
      <w:proofErr w:type="spellEnd"/>
      <w:r>
        <w:rPr>
          <w:sz w:val="20"/>
          <w:szCs w:val="20"/>
        </w:rPr>
        <w:t xml:space="preserve">, &amp; Shen, 2005). </w:t>
      </w:r>
      <w:proofErr w:type="spellStart"/>
      <w:r>
        <w:rPr>
          <w:sz w:val="20"/>
          <w:szCs w:val="20"/>
        </w:rPr>
        <w:t>Springback</w:t>
      </w:r>
      <w:proofErr w:type="spellEnd"/>
      <w:r>
        <w:rPr>
          <w:sz w:val="20"/>
          <w:szCs w:val="20"/>
        </w:rPr>
        <w:t xml:space="preserve"> is a common problem in sheet metal forming that can cause significant dimensional deviations in the final part.</w:t>
      </w:r>
    </w:p>
    <w:p w14:paraId="16A03149" w14:textId="77777777" w:rsidR="00E44580" w:rsidRDefault="00E44580">
      <w:pPr>
        <w:rPr>
          <w:sz w:val="20"/>
          <w:szCs w:val="20"/>
        </w:rPr>
      </w:pPr>
    </w:p>
    <w:p w14:paraId="1A8F6F80" w14:textId="77777777" w:rsidR="00E44580" w:rsidRDefault="00E71881">
      <w:pPr>
        <w:rPr>
          <w:sz w:val="20"/>
          <w:szCs w:val="20"/>
        </w:rPr>
      </w:pPr>
      <w:r>
        <w:rPr>
          <w:sz w:val="20"/>
          <w:szCs w:val="20"/>
        </w:rPr>
        <w:t xml:space="preserve">The research materials include primary data in the form of direct measurement results on actual components, as well as secondary data such as technical specifications of old dies, press machine parameters, and the company's internal manufacturing tolerance standards (Misumi Corporation, 2007). The software used includes CAD (Computer Aided Design) for 3D modeling of dies, CAE (Computer Aided Engineering) for simulation of deformation due to the bending process, and CAM (Computer Aided Manufacturing) for simulation of the dies manufacturing process through CNC G-code programming. The application of this technology has proven effective for the development of precision dies and improving product accuracy in various previous studies (Mat </w:t>
      </w:r>
      <w:proofErr w:type="spellStart"/>
      <w:r>
        <w:rPr>
          <w:sz w:val="20"/>
          <w:szCs w:val="20"/>
        </w:rPr>
        <w:t>Dzahir</w:t>
      </w:r>
      <w:proofErr w:type="spellEnd"/>
      <w:r>
        <w:rPr>
          <w:sz w:val="20"/>
          <w:szCs w:val="20"/>
        </w:rPr>
        <w:t xml:space="preserve"> et al., 2015; Wulan &amp; </w:t>
      </w:r>
      <w:proofErr w:type="spellStart"/>
      <w:r>
        <w:rPr>
          <w:sz w:val="20"/>
          <w:szCs w:val="20"/>
        </w:rPr>
        <w:t>Cahyaningtyas</w:t>
      </w:r>
      <w:proofErr w:type="spellEnd"/>
      <w:r>
        <w:rPr>
          <w:sz w:val="20"/>
          <w:szCs w:val="20"/>
        </w:rPr>
        <w:t xml:space="preserve">, 2023). Precision measuring devices such as checking fixtures and CMMs are used in the final stage to validate the simulation results against the real shape of the parts produced, as also explained by </w:t>
      </w:r>
      <w:proofErr w:type="spellStart"/>
      <w:r>
        <w:rPr>
          <w:sz w:val="20"/>
          <w:szCs w:val="20"/>
        </w:rPr>
        <w:t>Sudarmawan</w:t>
      </w:r>
      <w:proofErr w:type="spellEnd"/>
      <w:r>
        <w:rPr>
          <w:sz w:val="20"/>
          <w:szCs w:val="20"/>
        </w:rPr>
        <w:t xml:space="preserve"> (2009) in a technical study on dies press technology.</w:t>
      </w:r>
    </w:p>
    <w:p w14:paraId="0BB53AE6" w14:textId="77777777" w:rsidR="00E44580" w:rsidRDefault="00E44580">
      <w:pPr>
        <w:rPr>
          <w:sz w:val="20"/>
          <w:szCs w:val="20"/>
        </w:rPr>
      </w:pPr>
    </w:p>
    <w:p w14:paraId="42A14247" w14:textId="77777777" w:rsidR="00E44580" w:rsidRDefault="00E71881">
      <w:pPr>
        <w:pStyle w:val="Heading2"/>
        <w:spacing w:before="0" w:after="0"/>
        <w:ind w:left="426" w:hanging="426"/>
      </w:pPr>
      <w:proofErr w:type="spellStart"/>
      <w:r>
        <w:t>Research</w:t>
      </w:r>
      <w:proofErr w:type="spellEnd"/>
      <w:r>
        <w:t xml:space="preserve"> </w:t>
      </w:r>
      <w:proofErr w:type="spellStart"/>
      <w:r>
        <w:t>Methods</w:t>
      </w:r>
      <w:proofErr w:type="spellEnd"/>
    </w:p>
    <w:p w14:paraId="3F786487" w14:textId="77777777" w:rsidR="00E44580" w:rsidRDefault="00E71881">
      <w:pPr>
        <w:rPr>
          <w:sz w:val="20"/>
          <w:szCs w:val="20"/>
        </w:rPr>
      </w:pPr>
      <w:r>
        <w:rPr>
          <w:sz w:val="20"/>
          <w:szCs w:val="20"/>
        </w:rPr>
        <w:t xml:space="preserve">This study uses a numerical experimental approach based on CAE (Computer Aided Engineering) with a prescriptive model that aims to provide a technical solution to the </w:t>
      </w:r>
      <w:proofErr w:type="spellStart"/>
      <w:r>
        <w:rPr>
          <w:sz w:val="20"/>
          <w:szCs w:val="20"/>
        </w:rPr>
        <w:t>springback</w:t>
      </w:r>
      <w:proofErr w:type="spellEnd"/>
      <w:r>
        <w:rPr>
          <w:sz w:val="20"/>
          <w:szCs w:val="20"/>
        </w:rPr>
        <w:t xml:space="preserve"> phenomenon, which is the tendency of metal to return to its original shape due to elastic recovery after the forming process. </w:t>
      </w:r>
      <w:proofErr w:type="spellStart"/>
      <w:r>
        <w:rPr>
          <w:sz w:val="20"/>
          <w:szCs w:val="20"/>
        </w:rPr>
        <w:t>Springback</w:t>
      </w:r>
      <w:proofErr w:type="spellEnd"/>
      <w:r>
        <w:rPr>
          <w:sz w:val="20"/>
          <w:szCs w:val="20"/>
        </w:rPr>
        <w:t xml:space="preserve"> often causes part geometry mismatch in precision manufacturing, especially in sheet metal bending processes (Yang et al., 2012; Altan, </w:t>
      </w:r>
      <w:proofErr w:type="spellStart"/>
      <w:r>
        <w:rPr>
          <w:sz w:val="20"/>
          <w:szCs w:val="20"/>
        </w:rPr>
        <w:t>Ngaile</w:t>
      </w:r>
      <w:proofErr w:type="spellEnd"/>
      <w:r>
        <w:rPr>
          <w:sz w:val="20"/>
          <w:szCs w:val="20"/>
        </w:rPr>
        <w:t xml:space="preserve">, &amp; Shen, 2005). The initial step in this study was to conduct direct observation and measurement of the actual part that was deformed using precision measuring instruments such as checking fixtures and Coordinate Measuring Machines </w:t>
      </w:r>
      <w:r>
        <w:rPr>
          <w:sz w:val="20"/>
          <w:szCs w:val="20"/>
        </w:rPr>
        <w:lastRenderedPageBreak/>
        <w:t>(CMM). Based on the results of the initial evaluation, a redesign of the die geometry was carried out in 3D CAD (Computer Aided Design) format.</w:t>
      </w:r>
    </w:p>
    <w:p w14:paraId="08B55481" w14:textId="77777777" w:rsidR="00E44580" w:rsidRDefault="00E44580">
      <w:pPr>
        <w:rPr>
          <w:sz w:val="20"/>
          <w:szCs w:val="20"/>
        </w:rPr>
      </w:pPr>
    </w:p>
    <w:p w14:paraId="2F779AF4" w14:textId="77777777" w:rsidR="00E44580" w:rsidRDefault="00E71881">
      <w:pPr>
        <w:rPr>
          <w:sz w:val="20"/>
          <w:szCs w:val="20"/>
        </w:rPr>
      </w:pPr>
      <w:r>
        <w:rPr>
          <w:sz w:val="20"/>
          <w:szCs w:val="20"/>
        </w:rPr>
        <w:t xml:space="preserve">Next, a simulation of part formation using CAE based on the Finite Element Method (FEM) was carried out on four bending angle configurations: 88.5°, 89°, 90°, and 90.92°. This simulation aims to predict angular deformation and measure shape deviation from the initial design. Actual process parameters such as material elastic modulus, bending radius, and press force are calculated in detail in the simulation process, as explained by </w:t>
      </w:r>
      <w:proofErr w:type="spellStart"/>
      <w:r>
        <w:rPr>
          <w:sz w:val="20"/>
          <w:szCs w:val="20"/>
        </w:rPr>
        <w:t>Dzahir</w:t>
      </w:r>
      <w:proofErr w:type="spellEnd"/>
      <w:r>
        <w:rPr>
          <w:sz w:val="20"/>
          <w:szCs w:val="20"/>
        </w:rPr>
        <w:t xml:space="preserve"> et al. (2015) and </w:t>
      </w:r>
      <w:proofErr w:type="spellStart"/>
      <w:r>
        <w:rPr>
          <w:sz w:val="20"/>
          <w:szCs w:val="20"/>
        </w:rPr>
        <w:t>Sudarmawan</w:t>
      </w:r>
      <w:proofErr w:type="spellEnd"/>
      <w:r>
        <w:rPr>
          <w:sz w:val="20"/>
          <w:szCs w:val="20"/>
        </w:rPr>
        <w:t xml:space="preserve"> (2009) as key factors in controlling the accuracy of forming results. After all simulations are carried out, the results are compared with the actual shape of the part from 3D measurements, to determine the most optimal angle that produces the best geometric accuracy. Validation of the results is carried out using the data triangulation method through a comparison between simulation results, metrology data, and CAM documents, which strengthens the validity of this approach in automotive tooling applications (Wulan &amp; </w:t>
      </w:r>
      <w:proofErr w:type="spellStart"/>
      <w:r>
        <w:rPr>
          <w:sz w:val="20"/>
          <w:szCs w:val="20"/>
        </w:rPr>
        <w:t>Cahyaningtyas</w:t>
      </w:r>
      <w:proofErr w:type="spellEnd"/>
      <w:r>
        <w:rPr>
          <w:sz w:val="20"/>
          <w:szCs w:val="20"/>
        </w:rPr>
        <w:t>, 2023; Misumi Corporation, 2007).</w:t>
      </w:r>
    </w:p>
    <w:p w14:paraId="1A803E10" w14:textId="77777777" w:rsidR="00E44580" w:rsidRDefault="00E44580">
      <w:pPr>
        <w:jc w:val="center"/>
        <w:rPr>
          <w:sz w:val="20"/>
          <w:szCs w:val="20"/>
        </w:rPr>
      </w:pPr>
    </w:p>
    <w:p w14:paraId="44D9A0DD" w14:textId="77777777" w:rsidR="00E44580" w:rsidRDefault="00E71881">
      <w:pPr>
        <w:jc w:val="center"/>
        <w:rPr>
          <w:sz w:val="20"/>
          <w:szCs w:val="20"/>
        </w:rPr>
      </w:pPr>
      <w:r>
        <w:rPr>
          <w:noProof/>
          <w:sz w:val="20"/>
          <w:szCs w:val="20"/>
        </w:rPr>
        <w:drawing>
          <wp:inline distT="0" distB="0" distL="0" distR="0" wp14:anchorId="4E56C6AD" wp14:editId="7210CC83">
            <wp:extent cx="2351405" cy="4891405"/>
            <wp:effectExtent l="0" t="0" r="10795" b="635"/>
            <wp:docPr id="10283882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388224" name="Picture 1"/>
                    <pic:cNvPicPr>
                      <a:picLocks noChangeAspect="1"/>
                    </pic:cNvPicPr>
                  </pic:nvPicPr>
                  <pic:blipFill>
                    <a:blip r:embed="rId14"/>
                    <a:stretch>
                      <a:fillRect/>
                    </a:stretch>
                  </pic:blipFill>
                  <pic:spPr>
                    <a:xfrm>
                      <a:off x="0" y="0"/>
                      <a:ext cx="2363344" cy="4891405"/>
                    </a:xfrm>
                    <a:prstGeom prst="rect">
                      <a:avLst/>
                    </a:prstGeom>
                  </pic:spPr>
                </pic:pic>
              </a:graphicData>
            </a:graphic>
          </wp:inline>
        </w:drawing>
      </w:r>
    </w:p>
    <w:p w14:paraId="6BFD08D6" w14:textId="77777777" w:rsidR="00E44580" w:rsidRDefault="00E71881">
      <w:pPr>
        <w:jc w:val="center"/>
        <w:rPr>
          <w:sz w:val="20"/>
          <w:szCs w:val="20"/>
        </w:rPr>
      </w:pPr>
      <w:r>
        <w:rPr>
          <w:b/>
          <w:bCs/>
          <w:sz w:val="20"/>
          <w:szCs w:val="20"/>
        </w:rPr>
        <w:t>Fig. 1.</w:t>
      </w:r>
      <w:r>
        <w:rPr>
          <w:sz w:val="20"/>
          <w:szCs w:val="20"/>
        </w:rPr>
        <w:t xml:space="preserve"> Process Implementation Procedure</w:t>
      </w:r>
    </w:p>
    <w:p w14:paraId="6548EFAD" w14:textId="77777777" w:rsidR="00E44580" w:rsidRDefault="00E71881">
      <w:pPr>
        <w:numPr>
          <w:ilvl w:val="1"/>
          <w:numId w:val="1"/>
        </w:numPr>
        <w:ind w:left="426" w:hanging="426"/>
        <w:rPr>
          <w:b/>
          <w:i/>
          <w:iCs/>
          <w:sz w:val="20"/>
          <w:szCs w:val="20"/>
          <w:lang w:val="id-ID"/>
        </w:rPr>
      </w:pPr>
      <w:r>
        <w:rPr>
          <w:b/>
          <w:i/>
          <w:iCs/>
          <w:sz w:val="20"/>
          <w:szCs w:val="20"/>
          <w:lang w:val="id-ID"/>
        </w:rPr>
        <w:t xml:space="preserve">Data </w:t>
      </w:r>
      <w:proofErr w:type="spellStart"/>
      <w:r>
        <w:rPr>
          <w:b/>
          <w:i/>
          <w:iCs/>
          <w:sz w:val="20"/>
          <w:szCs w:val="20"/>
          <w:lang w:val="id-ID"/>
        </w:rPr>
        <w:t>Analysis</w:t>
      </w:r>
      <w:proofErr w:type="spellEnd"/>
    </w:p>
    <w:p w14:paraId="3A1FBC74" w14:textId="77777777" w:rsidR="00E44580" w:rsidRDefault="00E71881">
      <w:pPr>
        <w:rPr>
          <w:sz w:val="20"/>
          <w:szCs w:val="20"/>
        </w:rPr>
      </w:pPr>
      <w:r>
        <w:rPr>
          <w:sz w:val="20"/>
          <w:szCs w:val="20"/>
        </w:rPr>
        <w:t>The analysis was conducted by comparing the CAE simulation results to the actual part to measure the deviation of the shape and geometric accuracy. The evaluation used Root Mean Square Error (RMSE) and Coefficient of Variation (CV) to assess the stability and consistency of the bending angle configuration.</w:t>
      </w:r>
    </w:p>
    <w:p w14:paraId="6E8D8A9A" w14:textId="77777777" w:rsidR="00E44580" w:rsidRDefault="00E71881">
      <w:pPr>
        <w:rPr>
          <w:sz w:val="20"/>
          <w:szCs w:val="20"/>
        </w:rPr>
      </w:pPr>
      <w:r>
        <w:rPr>
          <w:sz w:val="20"/>
          <w:szCs w:val="20"/>
        </w:rPr>
        <w:t xml:space="preserve"> </w:t>
      </w:r>
    </w:p>
    <w:p w14:paraId="470B1554" w14:textId="77777777" w:rsidR="00E44580" w:rsidRDefault="00E71881">
      <w:pPr>
        <w:rPr>
          <w:sz w:val="20"/>
          <w:szCs w:val="20"/>
        </w:rPr>
      </w:pPr>
      <w:r>
        <w:rPr>
          <w:sz w:val="20"/>
          <w:szCs w:val="20"/>
        </w:rPr>
        <w:t xml:space="preserve">Visualization of the results in the form of section view images and accuracy improvement graphs reinforces that adjusting the die design to the bending angle is very important. This data is consistent with the research results of Altan (1998) and </w:t>
      </w:r>
      <w:proofErr w:type="spellStart"/>
      <w:r>
        <w:rPr>
          <w:sz w:val="20"/>
          <w:szCs w:val="20"/>
        </w:rPr>
        <w:t>Sudarmawan</w:t>
      </w:r>
      <w:proofErr w:type="spellEnd"/>
      <w:r>
        <w:rPr>
          <w:sz w:val="20"/>
          <w:szCs w:val="20"/>
        </w:rPr>
        <w:t xml:space="preserve"> (2009), which state that the elasticity of metal materials greatly affects the accuracy of the final shape results in the forming process.</w:t>
      </w:r>
    </w:p>
    <w:p w14:paraId="0F3E1A33" w14:textId="77777777" w:rsidR="00E44580" w:rsidRDefault="00E44580">
      <w:pPr>
        <w:rPr>
          <w:sz w:val="20"/>
          <w:szCs w:val="20"/>
        </w:rPr>
      </w:pPr>
    </w:p>
    <w:p w14:paraId="5C7FD278" w14:textId="77777777" w:rsidR="00E44580" w:rsidRDefault="00E71881">
      <w:pPr>
        <w:pStyle w:val="Heading2"/>
        <w:spacing w:after="0"/>
        <w:ind w:left="426" w:hanging="426"/>
      </w:pPr>
      <w:r>
        <w:t xml:space="preserve">Model </w:t>
      </w:r>
      <w:proofErr w:type="spellStart"/>
      <w:r>
        <w:t>Validation</w:t>
      </w:r>
      <w:proofErr w:type="spellEnd"/>
    </w:p>
    <w:p w14:paraId="2EBA2B6C" w14:textId="77777777" w:rsidR="00E44580" w:rsidRDefault="00E71881">
      <w:pPr>
        <w:rPr>
          <w:sz w:val="20"/>
          <w:szCs w:val="20"/>
        </w:rPr>
      </w:pPr>
      <w:r>
        <w:rPr>
          <w:sz w:val="20"/>
          <w:szCs w:val="20"/>
        </w:rPr>
        <w:t>Validation is performed through a triangulation technique approach, which includes a comparison between CAE simulation data, physical measurement results using checking fixtures, and verification of manufacturing results through CAM. This method aims to ensure that the simulation results are not only numerically valid, but also representative of real production conditions. This approach is in line with validation practices in manufacturing engineering recommended by Altan et al. (2005), namely integrating digital simulation with actual measurements to ensure the accuracy of tooling design.</w:t>
      </w:r>
    </w:p>
    <w:p w14:paraId="3720A24E" w14:textId="77777777" w:rsidR="00E44580" w:rsidRDefault="00E44580">
      <w:pPr>
        <w:rPr>
          <w:sz w:val="20"/>
          <w:szCs w:val="20"/>
        </w:rPr>
      </w:pPr>
    </w:p>
    <w:p w14:paraId="79FF5C87" w14:textId="77777777" w:rsidR="00E44580" w:rsidRDefault="00E71881">
      <w:pPr>
        <w:rPr>
          <w:sz w:val="20"/>
          <w:szCs w:val="20"/>
        </w:rPr>
      </w:pPr>
      <w:r>
        <w:rPr>
          <w:sz w:val="20"/>
          <w:szCs w:val="20"/>
        </w:rPr>
        <w:t xml:space="preserve">Validation was carried out by comparing the simulation results with actual measurement data and CAM results in the form of G-code for CNC machines. Validation points were focused on three critical deformation parameters, namely surface clearance, trimming line, and hole position, as recommended by Misumi Corporation (2007) in the precision component inspection standard. To ensure consistency, measurements were carried out repeatedly using a Coordinate Measuring Machine (CMM) and carried out in a room with controlled temperature. This process refers to the principles of repeated validation as explained in the study by Wulan &amp; </w:t>
      </w:r>
      <w:proofErr w:type="spellStart"/>
      <w:r>
        <w:rPr>
          <w:sz w:val="20"/>
          <w:szCs w:val="20"/>
        </w:rPr>
        <w:t>Cahyaningtyas</w:t>
      </w:r>
      <w:proofErr w:type="spellEnd"/>
      <w:r>
        <w:rPr>
          <w:sz w:val="20"/>
          <w:szCs w:val="20"/>
        </w:rPr>
        <w:t xml:space="preserve"> (2023), which states that precision measurement and data replication are crucial in proving the validity of CAE simulations in the context of automotive manufacturing dies redesign.</w:t>
      </w:r>
    </w:p>
    <w:p w14:paraId="548DB136" w14:textId="77777777" w:rsidR="00E44580" w:rsidRDefault="00E71881">
      <w:pPr>
        <w:pStyle w:val="Heading1"/>
        <w:numPr>
          <w:ilvl w:val="0"/>
          <w:numId w:val="0"/>
        </w:numPr>
        <w:rPr>
          <w:sz w:val="20"/>
          <w:szCs w:val="20"/>
          <w:lang w:val="en-US"/>
        </w:rPr>
      </w:pPr>
      <w:r>
        <w:rPr>
          <w:szCs w:val="21"/>
          <w:lang w:val="en-US"/>
        </w:rPr>
        <w:t>RESULT AND DISCUSSION</w:t>
      </w:r>
      <w:r>
        <w:rPr>
          <w:sz w:val="20"/>
          <w:szCs w:val="20"/>
          <w:lang w:val="en-US"/>
        </w:rPr>
        <w:t xml:space="preserve"> </w:t>
      </w:r>
    </w:p>
    <w:p w14:paraId="5AD43C5B" w14:textId="77777777" w:rsidR="00E44580" w:rsidRDefault="00E71881">
      <w:pPr>
        <w:pStyle w:val="Heading2"/>
        <w:numPr>
          <w:ilvl w:val="1"/>
          <w:numId w:val="3"/>
        </w:numPr>
      </w:pPr>
      <w:r>
        <w:rPr>
          <w:lang w:val="en-US"/>
        </w:rPr>
        <w:t>Problem Identification and Basis for Redesign</w:t>
      </w:r>
    </w:p>
    <w:p w14:paraId="1B1C63CD" w14:textId="77777777" w:rsidR="00E44580" w:rsidRDefault="00E71881">
      <w:pPr>
        <w:rPr>
          <w:sz w:val="20"/>
          <w:szCs w:val="28"/>
        </w:rPr>
      </w:pPr>
      <w:r>
        <w:rPr>
          <w:sz w:val="20"/>
          <w:szCs w:val="28"/>
        </w:rPr>
        <w:t xml:space="preserve">Based on initial observations of the Front 2 Rear Spring Bracket components, it was found that the dimensional accuracy decreased drastically from 98.72% to only 53.84%. The inspection results using a checking fixture </w:t>
      </w:r>
      <w:r>
        <w:rPr>
          <w:sz w:val="20"/>
          <w:szCs w:val="28"/>
        </w:rPr>
        <w:lastRenderedPageBreak/>
        <w:t xml:space="preserve">and a three-dimensional coordinate measuring tool (CMM) revealed significant geometric deviations in the trimming line area, surface line, and hole position. Follow-up evaluation shows that the used dies have been in operation for more than 27 years, well past the recommended lifespan limit of 10 years according to industry standards. Material wear and repeated deformation are believed to be the main causes of the appearance of the phenomenon of excessive </w:t>
      </w:r>
      <w:proofErr w:type="spellStart"/>
      <w:r>
        <w:rPr>
          <w:sz w:val="20"/>
          <w:szCs w:val="28"/>
        </w:rPr>
        <w:t>springback</w:t>
      </w:r>
      <w:proofErr w:type="spellEnd"/>
      <w:r>
        <w:rPr>
          <w:sz w:val="20"/>
          <w:szCs w:val="28"/>
        </w:rPr>
        <w:t xml:space="preserve">, as well as changes in bending angles that do not match the sample part. The new design was carried out using the </w:t>
      </w:r>
      <w:r>
        <w:rPr>
          <w:i/>
          <w:iCs/>
          <w:sz w:val="20"/>
          <w:szCs w:val="28"/>
        </w:rPr>
        <w:t>Computer Aided Engineering</w:t>
      </w:r>
      <w:r>
        <w:rPr>
          <w:sz w:val="20"/>
          <w:szCs w:val="28"/>
        </w:rPr>
        <w:t xml:space="preserve"> (CAE) method and produced designs in 3D and 2D formats as shown in Figure 2 and Figure 3</w:t>
      </w:r>
    </w:p>
    <w:p w14:paraId="2B2D62CD" w14:textId="77777777" w:rsidR="00E44580" w:rsidRDefault="00E71881">
      <w:r>
        <w:rPr>
          <w:noProof/>
        </w:rPr>
        <w:drawing>
          <wp:inline distT="0" distB="0" distL="0" distR="0" wp14:anchorId="0982AC7D" wp14:editId="751FE44A">
            <wp:extent cx="2967990" cy="2121535"/>
            <wp:effectExtent l="0" t="0" r="3810" b="0"/>
            <wp:docPr id="16100589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058927" name="Picture 1"/>
                    <pic:cNvPicPr>
                      <a:picLocks noChangeAspect="1"/>
                    </pic:cNvPicPr>
                  </pic:nvPicPr>
                  <pic:blipFill>
                    <a:blip r:embed="rId15"/>
                    <a:stretch>
                      <a:fillRect/>
                    </a:stretch>
                  </pic:blipFill>
                  <pic:spPr>
                    <a:xfrm>
                      <a:off x="0" y="0"/>
                      <a:ext cx="2967990" cy="2122016"/>
                    </a:xfrm>
                    <a:prstGeom prst="rect">
                      <a:avLst/>
                    </a:prstGeom>
                  </pic:spPr>
                </pic:pic>
              </a:graphicData>
            </a:graphic>
          </wp:inline>
        </w:drawing>
      </w:r>
    </w:p>
    <w:p w14:paraId="07341636" w14:textId="77777777" w:rsidR="00E44580" w:rsidRDefault="00E71881">
      <w:pPr>
        <w:pStyle w:val="E-JournalBody"/>
        <w:ind w:firstLine="0"/>
        <w:jc w:val="center"/>
        <w:rPr>
          <w:sz w:val="20"/>
          <w:szCs w:val="22"/>
          <w:lang w:val="en-US"/>
        </w:rPr>
      </w:pPr>
      <w:r>
        <w:rPr>
          <w:b/>
          <w:bCs/>
          <w:sz w:val="20"/>
          <w:szCs w:val="22"/>
          <w:lang w:val="en-US"/>
        </w:rPr>
        <w:t>Fig. 2.</w:t>
      </w:r>
      <w:r>
        <w:rPr>
          <w:sz w:val="20"/>
          <w:szCs w:val="22"/>
          <w:lang w:val="en-US"/>
        </w:rPr>
        <w:t xml:space="preserve"> Results of Designing Dies Bending</w:t>
      </w:r>
    </w:p>
    <w:p w14:paraId="7444D0E2" w14:textId="77777777" w:rsidR="00E44580" w:rsidRDefault="00E44580">
      <w:pPr>
        <w:pStyle w:val="E-JournalBody"/>
        <w:ind w:firstLine="0"/>
        <w:jc w:val="center"/>
        <w:rPr>
          <w:sz w:val="20"/>
          <w:szCs w:val="22"/>
          <w:lang w:val="en-US"/>
        </w:rPr>
      </w:pPr>
    </w:p>
    <w:p w14:paraId="0F0E61F2" w14:textId="77777777" w:rsidR="00E44580" w:rsidRDefault="00E71881">
      <w:pPr>
        <w:jc w:val="center"/>
      </w:pPr>
      <w:r>
        <w:rPr>
          <w:noProof/>
        </w:rPr>
        <w:drawing>
          <wp:inline distT="0" distB="0" distL="0" distR="0" wp14:anchorId="6385E384" wp14:editId="227629E1">
            <wp:extent cx="1771650" cy="1381760"/>
            <wp:effectExtent l="0" t="0" r="0" b="0"/>
            <wp:docPr id="11698237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823738" name="Picture 1"/>
                    <pic:cNvPicPr>
                      <a:picLocks noChangeAspect="1"/>
                    </pic:cNvPicPr>
                  </pic:nvPicPr>
                  <pic:blipFill>
                    <a:blip r:embed="rId16"/>
                    <a:stretch>
                      <a:fillRect/>
                    </a:stretch>
                  </pic:blipFill>
                  <pic:spPr>
                    <a:xfrm>
                      <a:off x="0" y="0"/>
                      <a:ext cx="1780261" cy="1389104"/>
                    </a:xfrm>
                    <a:prstGeom prst="rect">
                      <a:avLst/>
                    </a:prstGeom>
                  </pic:spPr>
                </pic:pic>
              </a:graphicData>
            </a:graphic>
          </wp:inline>
        </w:drawing>
      </w:r>
    </w:p>
    <w:p w14:paraId="35D02D7F" w14:textId="77777777" w:rsidR="00E44580" w:rsidRDefault="00E71881">
      <w:pPr>
        <w:pStyle w:val="E-JournalBody"/>
        <w:ind w:firstLine="0"/>
        <w:jc w:val="center"/>
        <w:rPr>
          <w:sz w:val="20"/>
          <w:szCs w:val="22"/>
          <w:lang w:val="en-US"/>
        </w:rPr>
      </w:pPr>
      <w:r>
        <w:rPr>
          <w:b/>
          <w:bCs/>
          <w:sz w:val="20"/>
          <w:szCs w:val="22"/>
          <w:lang w:val="en-US"/>
        </w:rPr>
        <w:t>Fig. 3.</w:t>
      </w:r>
      <w:r>
        <w:rPr>
          <w:sz w:val="20"/>
          <w:szCs w:val="22"/>
          <w:lang w:val="en-US"/>
        </w:rPr>
        <w:t xml:space="preserve"> Punch and Lower Die Design Results After CAE Analysis</w:t>
      </w:r>
    </w:p>
    <w:p w14:paraId="0E6E3DE7" w14:textId="77777777" w:rsidR="00E44580" w:rsidRDefault="00E44580">
      <w:pPr>
        <w:pStyle w:val="E-JournalBody"/>
        <w:ind w:firstLine="0"/>
        <w:jc w:val="center"/>
        <w:rPr>
          <w:sz w:val="20"/>
          <w:szCs w:val="22"/>
          <w:lang w:val="en-US"/>
        </w:rPr>
      </w:pPr>
    </w:p>
    <w:p w14:paraId="36497573" w14:textId="77777777" w:rsidR="00E44580" w:rsidRDefault="00E71881">
      <w:pPr>
        <w:jc w:val="center"/>
      </w:pPr>
      <w:r>
        <w:rPr>
          <w:noProof/>
        </w:rPr>
        <w:drawing>
          <wp:inline distT="0" distB="0" distL="0" distR="0" wp14:anchorId="2A3157EF" wp14:editId="0549FEE4">
            <wp:extent cx="2967990" cy="1831975"/>
            <wp:effectExtent l="0" t="0" r="3810" b="0"/>
            <wp:docPr id="122987235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872359"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2967990" cy="1832378"/>
                    </a:xfrm>
                    <a:prstGeom prst="rect">
                      <a:avLst/>
                    </a:prstGeom>
                    <a:noFill/>
                  </pic:spPr>
                </pic:pic>
              </a:graphicData>
            </a:graphic>
          </wp:inline>
        </w:drawing>
      </w:r>
    </w:p>
    <w:p w14:paraId="3B2B8EE6" w14:textId="77777777" w:rsidR="00E44580" w:rsidRDefault="00E71881">
      <w:pPr>
        <w:jc w:val="center"/>
        <w:rPr>
          <w:sz w:val="20"/>
          <w:szCs w:val="28"/>
          <w:lang w:val="id-ID"/>
        </w:rPr>
      </w:pPr>
      <w:r>
        <w:rPr>
          <w:b/>
          <w:bCs/>
          <w:sz w:val="20"/>
          <w:szCs w:val="28"/>
        </w:rPr>
        <w:t>Fig. 4.</w:t>
      </w:r>
      <w:r>
        <w:rPr>
          <w:sz w:val="20"/>
          <w:szCs w:val="28"/>
        </w:rPr>
        <w:t xml:space="preserve"> Graph of the Relationship of Bending Angle with Accuracy</w:t>
      </w:r>
    </w:p>
    <w:p w14:paraId="1115EA65" w14:textId="77777777" w:rsidR="00E44580" w:rsidRDefault="00E44580">
      <w:pPr>
        <w:jc w:val="center"/>
      </w:pPr>
    </w:p>
    <w:p w14:paraId="10CDDA32" w14:textId="77777777" w:rsidR="00E44580" w:rsidRDefault="00E71881">
      <w:pPr>
        <w:pStyle w:val="Heading2"/>
        <w:numPr>
          <w:ilvl w:val="1"/>
          <w:numId w:val="3"/>
        </w:numPr>
      </w:pPr>
      <w:r>
        <w:rPr>
          <w:lang w:val="en-US"/>
        </w:rPr>
        <w:t>Analysis of Deviation and Consistency</w:t>
      </w:r>
    </w:p>
    <w:p w14:paraId="443857CD" w14:textId="77777777" w:rsidR="00E44580" w:rsidRDefault="00E71881">
      <w:pPr>
        <w:rPr>
          <w:sz w:val="20"/>
          <w:szCs w:val="20"/>
          <w:lang w:val="id-ID"/>
        </w:rPr>
      </w:pPr>
      <w:proofErr w:type="spellStart"/>
      <w:r>
        <w:rPr>
          <w:sz w:val="20"/>
          <w:szCs w:val="20"/>
          <w:lang w:val="id-ID"/>
        </w:rPr>
        <w:t>Statistical</w:t>
      </w:r>
      <w:proofErr w:type="spellEnd"/>
      <w:r>
        <w:rPr>
          <w:sz w:val="20"/>
          <w:szCs w:val="20"/>
          <w:lang w:val="id-ID"/>
        </w:rPr>
        <w:t xml:space="preserve"> </w:t>
      </w:r>
      <w:proofErr w:type="spellStart"/>
      <w:r>
        <w:rPr>
          <w:sz w:val="20"/>
          <w:szCs w:val="20"/>
          <w:lang w:val="id-ID"/>
        </w:rPr>
        <w:t>analysis</w:t>
      </w:r>
      <w:proofErr w:type="spellEnd"/>
      <w:r>
        <w:rPr>
          <w:sz w:val="20"/>
          <w:szCs w:val="20"/>
          <w:lang w:val="id-ID"/>
        </w:rPr>
        <w:t xml:space="preserve"> </w:t>
      </w:r>
      <w:proofErr w:type="spellStart"/>
      <w:r>
        <w:rPr>
          <w:sz w:val="20"/>
          <w:szCs w:val="20"/>
          <w:lang w:val="id-ID"/>
        </w:rPr>
        <w:t>was</w:t>
      </w:r>
      <w:proofErr w:type="spellEnd"/>
      <w:r>
        <w:rPr>
          <w:sz w:val="20"/>
          <w:szCs w:val="20"/>
          <w:lang w:val="id-ID"/>
        </w:rPr>
        <w:t xml:space="preserve"> </w:t>
      </w:r>
      <w:proofErr w:type="spellStart"/>
      <w:r>
        <w:rPr>
          <w:sz w:val="20"/>
          <w:szCs w:val="20"/>
          <w:lang w:val="id-ID"/>
        </w:rPr>
        <w:t>performed</w:t>
      </w:r>
      <w:proofErr w:type="spellEnd"/>
      <w:r>
        <w:rPr>
          <w:sz w:val="20"/>
          <w:szCs w:val="20"/>
          <w:lang w:val="id-ID"/>
        </w:rPr>
        <w:t xml:space="preserve"> </w:t>
      </w:r>
      <w:proofErr w:type="spellStart"/>
      <w:r>
        <w:rPr>
          <w:sz w:val="20"/>
          <w:szCs w:val="20"/>
          <w:lang w:val="id-ID"/>
        </w:rPr>
        <w:t>to</w:t>
      </w:r>
      <w:proofErr w:type="spellEnd"/>
      <w:r>
        <w:rPr>
          <w:sz w:val="20"/>
          <w:szCs w:val="20"/>
          <w:lang w:val="id-ID"/>
        </w:rPr>
        <w:t xml:space="preserve"> </w:t>
      </w:r>
      <w:proofErr w:type="spellStart"/>
      <w:r>
        <w:rPr>
          <w:sz w:val="20"/>
          <w:szCs w:val="20"/>
          <w:lang w:val="id-ID"/>
        </w:rPr>
        <w:t>evaluate</w:t>
      </w:r>
      <w:proofErr w:type="spellEnd"/>
      <w:r>
        <w:rPr>
          <w:sz w:val="20"/>
          <w:szCs w:val="20"/>
          <w:lang w:val="id-ID"/>
        </w:rPr>
        <w:t xml:space="preserve"> </w:t>
      </w:r>
      <w:proofErr w:type="spellStart"/>
      <w:r>
        <w:rPr>
          <w:sz w:val="20"/>
          <w:szCs w:val="20"/>
          <w:lang w:val="id-ID"/>
        </w:rPr>
        <w:t>the</w:t>
      </w:r>
      <w:proofErr w:type="spellEnd"/>
      <w:r>
        <w:rPr>
          <w:sz w:val="20"/>
          <w:szCs w:val="20"/>
          <w:lang w:val="id-ID"/>
        </w:rPr>
        <w:t xml:space="preserve"> </w:t>
      </w:r>
      <w:proofErr w:type="spellStart"/>
      <w:r>
        <w:rPr>
          <w:sz w:val="20"/>
          <w:szCs w:val="20"/>
          <w:lang w:val="id-ID"/>
        </w:rPr>
        <w:t>stability</w:t>
      </w:r>
      <w:proofErr w:type="spellEnd"/>
      <w:r>
        <w:rPr>
          <w:sz w:val="20"/>
          <w:szCs w:val="20"/>
          <w:lang w:val="id-ID"/>
        </w:rPr>
        <w:t xml:space="preserve"> </w:t>
      </w:r>
      <w:proofErr w:type="spellStart"/>
      <w:r>
        <w:rPr>
          <w:sz w:val="20"/>
          <w:szCs w:val="20"/>
          <w:lang w:val="id-ID"/>
        </w:rPr>
        <w:t>of</w:t>
      </w:r>
      <w:proofErr w:type="spellEnd"/>
      <w:r>
        <w:rPr>
          <w:sz w:val="20"/>
          <w:szCs w:val="20"/>
          <w:lang w:val="id-ID"/>
        </w:rPr>
        <w:t xml:space="preserve"> </w:t>
      </w:r>
      <w:proofErr w:type="spellStart"/>
      <w:r>
        <w:rPr>
          <w:sz w:val="20"/>
          <w:szCs w:val="20"/>
          <w:lang w:val="id-ID"/>
        </w:rPr>
        <w:t>the</w:t>
      </w:r>
      <w:proofErr w:type="spellEnd"/>
      <w:r>
        <w:rPr>
          <w:sz w:val="20"/>
          <w:szCs w:val="20"/>
          <w:lang w:val="id-ID"/>
        </w:rPr>
        <w:t xml:space="preserve"> </w:t>
      </w:r>
      <w:proofErr w:type="spellStart"/>
      <w:r>
        <w:rPr>
          <w:sz w:val="20"/>
          <w:szCs w:val="20"/>
          <w:lang w:val="id-ID"/>
        </w:rPr>
        <w:t>simulation</w:t>
      </w:r>
      <w:proofErr w:type="spellEnd"/>
      <w:r>
        <w:rPr>
          <w:sz w:val="20"/>
          <w:szCs w:val="20"/>
          <w:lang w:val="id-ID"/>
        </w:rPr>
        <w:t xml:space="preserve"> </w:t>
      </w:r>
      <w:proofErr w:type="spellStart"/>
      <w:r>
        <w:rPr>
          <w:sz w:val="20"/>
          <w:szCs w:val="20"/>
          <w:lang w:val="id-ID"/>
        </w:rPr>
        <w:t>results</w:t>
      </w:r>
      <w:proofErr w:type="spellEnd"/>
      <w:r>
        <w:rPr>
          <w:sz w:val="20"/>
          <w:szCs w:val="20"/>
          <w:lang w:val="id-ID"/>
        </w:rPr>
        <w:t xml:space="preserve">. The </w:t>
      </w:r>
      <w:proofErr w:type="spellStart"/>
      <w:r>
        <w:rPr>
          <w:sz w:val="20"/>
          <w:szCs w:val="20"/>
          <w:lang w:val="id-ID"/>
        </w:rPr>
        <w:t>angular</w:t>
      </w:r>
      <w:proofErr w:type="spellEnd"/>
      <w:r>
        <w:rPr>
          <w:sz w:val="20"/>
          <w:szCs w:val="20"/>
          <w:lang w:val="id-ID"/>
        </w:rPr>
        <w:t xml:space="preserve"> </w:t>
      </w:r>
      <w:proofErr w:type="spellStart"/>
      <w:r>
        <w:rPr>
          <w:sz w:val="20"/>
          <w:szCs w:val="20"/>
          <w:lang w:val="id-ID"/>
        </w:rPr>
        <w:t>deviation</w:t>
      </w:r>
      <w:proofErr w:type="spellEnd"/>
      <w:r>
        <w:rPr>
          <w:sz w:val="20"/>
          <w:szCs w:val="20"/>
          <w:lang w:val="id-ID"/>
        </w:rPr>
        <w:t xml:space="preserve"> </w:t>
      </w:r>
      <w:proofErr w:type="spellStart"/>
      <w:r>
        <w:rPr>
          <w:sz w:val="20"/>
          <w:szCs w:val="20"/>
          <w:lang w:val="id-ID"/>
        </w:rPr>
        <w:t>to</w:t>
      </w:r>
      <w:proofErr w:type="spellEnd"/>
      <w:r>
        <w:rPr>
          <w:sz w:val="20"/>
          <w:szCs w:val="20"/>
          <w:lang w:val="id-ID"/>
        </w:rPr>
        <w:t xml:space="preserve"> </w:t>
      </w:r>
      <w:proofErr w:type="spellStart"/>
      <w:r>
        <w:rPr>
          <w:sz w:val="20"/>
          <w:szCs w:val="20"/>
          <w:lang w:val="id-ID"/>
        </w:rPr>
        <w:t>the</w:t>
      </w:r>
      <w:proofErr w:type="spellEnd"/>
      <w:r>
        <w:rPr>
          <w:sz w:val="20"/>
          <w:szCs w:val="20"/>
          <w:lang w:val="id-ID"/>
        </w:rPr>
        <w:t xml:space="preserve"> target </w:t>
      </w:r>
      <w:proofErr w:type="spellStart"/>
      <w:r>
        <w:rPr>
          <w:sz w:val="20"/>
          <w:szCs w:val="20"/>
          <w:lang w:val="id-ID"/>
        </w:rPr>
        <w:t>was</w:t>
      </w:r>
      <w:proofErr w:type="spellEnd"/>
      <w:r>
        <w:rPr>
          <w:sz w:val="20"/>
          <w:szCs w:val="20"/>
          <w:lang w:val="id-ID"/>
        </w:rPr>
        <w:t xml:space="preserve"> </w:t>
      </w:r>
      <w:proofErr w:type="spellStart"/>
      <w:r>
        <w:rPr>
          <w:sz w:val="20"/>
          <w:szCs w:val="20"/>
          <w:lang w:val="id-ID"/>
        </w:rPr>
        <w:t>analyzed</w:t>
      </w:r>
      <w:proofErr w:type="spellEnd"/>
      <w:r>
        <w:rPr>
          <w:sz w:val="20"/>
          <w:szCs w:val="20"/>
          <w:lang w:val="id-ID"/>
        </w:rPr>
        <w:t xml:space="preserve"> </w:t>
      </w:r>
      <w:proofErr w:type="spellStart"/>
      <w:r>
        <w:rPr>
          <w:sz w:val="20"/>
          <w:szCs w:val="20"/>
          <w:lang w:val="id-ID"/>
        </w:rPr>
        <w:t>using</w:t>
      </w:r>
      <w:proofErr w:type="spellEnd"/>
      <w:r>
        <w:rPr>
          <w:sz w:val="20"/>
          <w:szCs w:val="20"/>
          <w:lang w:val="id-ID"/>
        </w:rPr>
        <w:t xml:space="preserve"> </w:t>
      </w:r>
      <w:proofErr w:type="spellStart"/>
      <w:r>
        <w:rPr>
          <w:sz w:val="20"/>
          <w:szCs w:val="20"/>
          <w:lang w:val="id-ID"/>
        </w:rPr>
        <w:t>Root</w:t>
      </w:r>
      <w:proofErr w:type="spellEnd"/>
      <w:r>
        <w:rPr>
          <w:sz w:val="20"/>
          <w:szCs w:val="20"/>
          <w:lang w:val="id-ID"/>
        </w:rPr>
        <w:t xml:space="preserve"> </w:t>
      </w:r>
      <w:proofErr w:type="spellStart"/>
      <w:r>
        <w:rPr>
          <w:sz w:val="20"/>
          <w:szCs w:val="20"/>
          <w:lang w:val="id-ID"/>
        </w:rPr>
        <w:t>Mean</w:t>
      </w:r>
      <w:proofErr w:type="spellEnd"/>
      <w:r>
        <w:rPr>
          <w:sz w:val="20"/>
          <w:szCs w:val="20"/>
          <w:lang w:val="id-ID"/>
        </w:rPr>
        <w:t xml:space="preserve"> </w:t>
      </w:r>
      <w:proofErr w:type="spellStart"/>
      <w:r>
        <w:rPr>
          <w:sz w:val="20"/>
          <w:szCs w:val="20"/>
          <w:lang w:val="id-ID"/>
        </w:rPr>
        <w:t>Square</w:t>
      </w:r>
      <w:proofErr w:type="spellEnd"/>
      <w:r>
        <w:rPr>
          <w:sz w:val="20"/>
          <w:szCs w:val="20"/>
          <w:lang w:val="id-ID"/>
        </w:rPr>
        <w:t xml:space="preserve"> </w:t>
      </w:r>
      <w:proofErr w:type="spellStart"/>
      <w:r>
        <w:rPr>
          <w:sz w:val="20"/>
          <w:szCs w:val="20"/>
          <w:lang w:val="id-ID"/>
        </w:rPr>
        <w:t>Error</w:t>
      </w:r>
      <w:proofErr w:type="spellEnd"/>
      <w:r>
        <w:rPr>
          <w:sz w:val="20"/>
          <w:szCs w:val="20"/>
          <w:lang w:val="id-ID"/>
        </w:rPr>
        <w:t xml:space="preserve"> (RMSE) </w:t>
      </w:r>
      <w:proofErr w:type="spellStart"/>
      <w:r>
        <w:rPr>
          <w:sz w:val="20"/>
          <w:szCs w:val="20"/>
          <w:lang w:val="id-ID"/>
        </w:rPr>
        <w:t>and</w:t>
      </w:r>
      <w:proofErr w:type="spellEnd"/>
      <w:r>
        <w:rPr>
          <w:sz w:val="20"/>
          <w:szCs w:val="20"/>
          <w:lang w:val="id-ID"/>
        </w:rPr>
        <w:t xml:space="preserve"> </w:t>
      </w:r>
      <w:proofErr w:type="spellStart"/>
      <w:r>
        <w:rPr>
          <w:sz w:val="20"/>
          <w:szCs w:val="20"/>
          <w:lang w:val="id-ID"/>
        </w:rPr>
        <w:t>coefficient</w:t>
      </w:r>
      <w:proofErr w:type="spellEnd"/>
      <w:r>
        <w:rPr>
          <w:sz w:val="20"/>
          <w:szCs w:val="20"/>
          <w:lang w:val="id-ID"/>
        </w:rPr>
        <w:t xml:space="preserve"> </w:t>
      </w:r>
      <w:proofErr w:type="spellStart"/>
      <w:r>
        <w:rPr>
          <w:sz w:val="20"/>
          <w:szCs w:val="20"/>
          <w:lang w:val="id-ID"/>
        </w:rPr>
        <w:t>of</w:t>
      </w:r>
      <w:proofErr w:type="spellEnd"/>
      <w:r>
        <w:rPr>
          <w:sz w:val="20"/>
          <w:szCs w:val="20"/>
          <w:lang w:val="id-ID"/>
        </w:rPr>
        <w:t xml:space="preserve"> </w:t>
      </w:r>
      <w:proofErr w:type="spellStart"/>
      <w:r>
        <w:rPr>
          <w:sz w:val="20"/>
          <w:szCs w:val="20"/>
          <w:lang w:val="id-ID"/>
        </w:rPr>
        <w:t>variation</w:t>
      </w:r>
      <w:proofErr w:type="spellEnd"/>
      <w:r>
        <w:rPr>
          <w:sz w:val="20"/>
          <w:szCs w:val="20"/>
          <w:lang w:val="id-ID"/>
        </w:rPr>
        <w:t xml:space="preserve"> (CV) </w:t>
      </w:r>
      <w:proofErr w:type="spellStart"/>
      <w:r>
        <w:rPr>
          <w:sz w:val="20"/>
          <w:szCs w:val="20"/>
          <w:lang w:val="id-ID"/>
        </w:rPr>
        <w:t>to</w:t>
      </w:r>
      <w:proofErr w:type="spellEnd"/>
      <w:r>
        <w:rPr>
          <w:sz w:val="20"/>
          <w:szCs w:val="20"/>
          <w:lang w:val="id-ID"/>
        </w:rPr>
        <w:t xml:space="preserve"> </w:t>
      </w:r>
      <w:proofErr w:type="spellStart"/>
      <w:r>
        <w:rPr>
          <w:sz w:val="20"/>
          <w:szCs w:val="20"/>
          <w:lang w:val="id-ID"/>
        </w:rPr>
        <w:t>determine</w:t>
      </w:r>
      <w:proofErr w:type="spellEnd"/>
      <w:r>
        <w:rPr>
          <w:sz w:val="20"/>
          <w:szCs w:val="20"/>
          <w:lang w:val="id-ID"/>
        </w:rPr>
        <w:t xml:space="preserve"> </w:t>
      </w:r>
      <w:proofErr w:type="spellStart"/>
      <w:r>
        <w:rPr>
          <w:sz w:val="20"/>
          <w:szCs w:val="20"/>
          <w:lang w:val="id-ID"/>
        </w:rPr>
        <w:t>irregularities</w:t>
      </w:r>
      <w:proofErr w:type="spellEnd"/>
      <w:r>
        <w:rPr>
          <w:sz w:val="20"/>
          <w:szCs w:val="20"/>
          <w:lang w:val="id-ID"/>
        </w:rPr>
        <w:t xml:space="preserve"> </w:t>
      </w:r>
      <w:proofErr w:type="spellStart"/>
      <w:r>
        <w:rPr>
          <w:sz w:val="20"/>
          <w:szCs w:val="20"/>
          <w:lang w:val="id-ID"/>
        </w:rPr>
        <w:t>between</w:t>
      </w:r>
      <w:proofErr w:type="spellEnd"/>
      <w:r>
        <w:rPr>
          <w:sz w:val="20"/>
          <w:szCs w:val="20"/>
          <w:lang w:val="id-ID"/>
        </w:rPr>
        <w:t xml:space="preserve"> </w:t>
      </w:r>
      <w:proofErr w:type="spellStart"/>
      <w:r>
        <w:rPr>
          <w:sz w:val="20"/>
          <w:szCs w:val="20"/>
          <w:lang w:val="id-ID"/>
        </w:rPr>
        <w:t>configurations</w:t>
      </w:r>
      <w:proofErr w:type="spellEnd"/>
      <w:r>
        <w:rPr>
          <w:sz w:val="20"/>
          <w:szCs w:val="20"/>
          <w:lang w:val="id-ID"/>
        </w:rPr>
        <w:t>.</w:t>
      </w:r>
    </w:p>
    <w:p w14:paraId="408D30AF" w14:textId="77777777" w:rsidR="00E44580" w:rsidRDefault="00E71881">
      <w:pPr>
        <w:pStyle w:val="E-JournalBody"/>
        <w:numPr>
          <w:ilvl w:val="0"/>
          <w:numId w:val="4"/>
        </w:numPr>
        <w:ind w:left="709" w:hanging="425"/>
        <w:rPr>
          <w:sz w:val="20"/>
          <w:szCs w:val="20"/>
        </w:rPr>
      </w:pPr>
      <w:r>
        <w:rPr>
          <w:sz w:val="20"/>
          <w:szCs w:val="20"/>
          <w:lang w:val="en-US"/>
        </w:rPr>
        <w:t xml:space="preserve">RMSE against target angles </w:t>
      </w:r>
      <w:r>
        <w:rPr>
          <w:sz w:val="20"/>
          <w:szCs w:val="20"/>
        </w:rPr>
        <w:t>90</w:t>
      </w:r>
      <w:r>
        <w:rPr>
          <w:sz w:val="20"/>
          <w:szCs w:val="20"/>
          <w:vertAlign w:val="superscript"/>
        </w:rPr>
        <w:t>o</w:t>
      </w:r>
      <w:r>
        <w:rPr>
          <w:sz w:val="20"/>
          <w:szCs w:val="20"/>
        </w:rPr>
        <w:t>:</w:t>
      </w:r>
    </w:p>
    <w:p w14:paraId="039181EB" w14:textId="77777777" w:rsidR="00E44580" w:rsidRDefault="00E71881">
      <w:pPr>
        <w:pStyle w:val="E-JournalBody"/>
        <w:ind w:firstLine="0"/>
        <w:rPr>
          <w:sz w:val="20"/>
          <w:szCs w:val="20"/>
        </w:rPr>
      </w:pPr>
      <m:oMathPara>
        <m:oMath>
          <m:r>
            <w:rPr>
              <w:rFonts w:ascii="Cambria Math" w:hAnsi="Cambria Math"/>
              <w:sz w:val="12"/>
              <w:szCs w:val="12"/>
            </w:rPr>
            <m:t>RMSE=</m:t>
          </m:r>
          <m:rad>
            <m:radPr>
              <m:degHide m:val="1"/>
              <m:ctrlPr>
                <w:rPr>
                  <w:rFonts w:ascii="Cambria Math" w:hAnsi="Cambria Math"/>
                  <w:i/>
                  <w:sz w:val="12"/>
                  <w:szCs w:val="12"/>
                </w:rPr>
              </m:ctrlPr>
            </m:radPr>
            <m:deg/>
            <m:e>
              <m:f>
                <m:fPr>
                  <m:ctrlPr>
                    <w:rPr>
                      <w:rFonts w:ascii="Cambria Math" w:hAnsi="Cambria Math"/>
                      <w:i/>
                      <w:sz w:val="12"/>
                      <w:szCs w:val="12"/>
                    </w:rPr>
                  </m:ctrlPr>
                </m:fPr>
                <m:num>
                  <m:sSup>
                    <m:sSupPr>
                      <m:ctrlPr>
                        <w:rPr>
                          <w:rFonts w:ascii="Cambria Math" w:hAnsi="Cambria Math"/>
                          <w:sz w:val="12"/>
                          <w:szCs w:val="12"/>
                        </w:rPr>
                      </m:ctrlPr>
                    </m:sSupPr>
                    <m:e>
                      <m:sSup>
                        <m:sSupPr>
                          <m:ctrlPr>
                            <w:rPr>
                              <w:rFonts w:ascii="Cambria Math" w:hAnsi="Cambria Math"/>
                              <w:sz w:val="12"/>
                              <w:szCs w:val="12"/>
                            </w:rPr>
                          </m:ctrlPr>
                        </m:sSupPr>
                        <m:e>
                          <m:r>
                            <w:rPr>
                              <w:rFonts w:ascii="Cambria Math" w:hAnsi="Cambria Math"/>
                              <w:sz w:val="12"/>
                              <w:szCs w:val="12"/>
                            </w:rPr>
                            <m:t>(90.02 - 90)</m:t>
                          </m:r>
                        </m:e>
                        <m:sup>
                          <m:r>
                            <w:rPr>
                              <w:rFonts w:ascii="Cambria Math" w:hAnsi="Cambria Math"/>
                              <w:sz w:val="12"/>
                              <w:szCs w:val="12"/>
                            </w:rPr>
                            <m:t>2</m:t>
                          </m:r>
                        </m:sup>
                      </m:sSup>
                      <m:r>
                        <w:rPr>
                          <w:rFonts w:ascii="Cambria Math" w:hAnsi="Cambria Math"/>
                          <w:sz w:val="12"/>
                          <w:szCs w:val="12"/>
                        </w:rPr>
                        <m:t xml:space="preserve"> +</m:t>
                      </m:r>
                      <m:sSup>
                        <m:sSupPr>
                          <m:ctrlPr>
                            <w:rPr>
                              <w:rFonts w:ascii="Cambria Math" w:hAnsi="Cambria Math"/>
                              <w:sz w:val="12"/>
                              <w:szCs w:val="12"/>
                            </w:rPr>
                          </m:ctrlPr>
                        </m:sSupPr>
                        <m:e>
                          <m:r>
                            <w:rPr>
                              <w:rFonts w:ascii="Cambria Math" w:hAnsi="Cambria Math"/>
                              <w:sz w:val="12"/>
                              <w:szCs w:val="12"/>
                            </w:rPr>
                            <m:t>(89.45 - 90)</m:t>
                          </m:r>
                        </m:e>
                        <m:sup>
                          <m:r>
                            <w:rPr>
                              <w:rFonts w:ascii="Cambria Math" w:hAnsi="Cambria Math"/>
                              <w:sz w:val="12"/>
                              <w:szCs w:val="12"/>
                            </w:rPr>
                            <m:t>2</m:t>
                          </m:r>
                        </m:sup>
                      </m:sSup>
                      <m:r>
                        <w:rPr>
                          <w:rFonts w:ascii="Cambria Math" w:hAnsi="Cambria Math"/>
                          <w:sz w:val="12"/>
                          <w:szCs w:val="12"/>
                        </w:rPr>
                        <m:t xml:space="preserve"> +(</m:t>
                      </m:r>
                      <m:sSup>
                        <m:sSupPr>
                          <m:ctrlPr>
                            <w:rPr>
                              <w:rFonts w:ascii="Cambria Math" w:hAnsi="Cambria Math"/>
                              <w:sz w:val="12"/>
                              <w:szCs w:val="12"/>
                            </w:rPr>
                          </m:ctrlPr>
                        </m:sSupPr>
                        <m:e>
                          <m:r>
                            <w:rPr>
                              <w:rFonts w:ascii="Cambria Math" w:hAnsi="Cambria Math"/>
                              <w:sz w:val="12"/>
                              <w:szCs w:val="12"/>
                            </w:rPr>
                            <m:t>88.37 - 90)</m:t>
                          </m:r>
                        </m:e>
                        <m:sup>
                          <m:r>
                            <w:rPr>
                              <w:rFonts w:ascii="Cambria Math" w:hAnsi="Cambria Math"/>
                              <w:sz w:val="12"/>
                              <w:szCs w:val="12"/>
                            </w:rPr>
                            <m:t>2</m:t>
                          </m:r>
                        </m:sup>
                      </m:sSup>
                      <m:sSup>
                        <m:sSupPr>
                          <m:ctrlPr>
                            <w:rPr>
                              <w:rFonts w:ascii="Cambria Math" w:hAnsi="Cambria Math"/>
                              <w:sz w:val="12"/>
                              <w:szCs w:val="12"/>
                            </w:rPr>
                          </m:ctrlPr>
                        </m:sSupPr>
                        <m:e>
                          <m:r>
                            <w:rPr>
                              <w:rFonts w:ascii="Cambria Math" w:hAnsi="Cambria Math"/>
                              <w:sz w:val="12"/>
                              <w:szCs w:val="12"/>
                            </w:rPr>
                            <m:t xml:space="preserve"> + (89.12 - 90)</m:t>
                          </m:r>
                        </m:e>
                        <m:sup>
                          <m:r>
                            <w:rPr>
                              <w:rFonts w:ascii="Cambria Math" w:hAnsi="Cambria Math"/>
                              <w:sz w:val="12"/>
                              <w:szCs w:val="12"/>
                            </w:rPr>
                            <m:t>2</m:t>
                          </m:r>
                        </m:sup>
                      </m:sSup>
                    </m:e>
                    <m:sup/>
                  </m:sSup>
                </m:num>
                <m:den>
                  <m:r>
                    <w:rPr>
                      <w:rFonts w:ascii="Cambria Math" w:hAnsi="Cambria Math"/>
                      <w:sz w:val="12"/>
                      <w:szCs w:val="12"/>
                    </w:rPr>
                    <m:t>4</m:t>
                  </m:r>
                </m:den>
              </m:f>
            </m:e>
          </m:rad>
        </m:oMath>
      </m:oMathPara>
    </w:p>
    <w:p w14:paraId="0031CDC5" w14:textId="77777777" w:rsidR="00E44580" w:rsidRDefault="00E71881">
      <w:pPr>
        <w:pStyle w:val="E-JournalBody"/>
        <w:ind w:left="284" w:firstLine="0"/>
        <w:rPr>
          <w:sz w:val="20"/>
          <w:szCs w:val="20"/>
        </w:rPr>
      </w:pPr>
      <m:oMath>
        <m:r>
          <w:rPr>
            <w:rFonts w:ascii="Cambria Math" w:hAnsi="Cambria Math"/>
            <w:sz w:val="20"/>
            <w:szCs w:val="20"/>
          </w:rPr>
          <m:t xml:space="preserve">RMSE=0,67 </m:t>
        </m:r>
      </m:oMath>
      <w:r>
        <w:rPr>
          <w:sz w:val="20"/>
          <w:szCs w:val="20"/>
          <w:vertAlign w:val="superscript"/>
        </w:rPr>
        <w:t>o</w:t>
      </w:r>
    </w:p>
    <w:p w14:paraId="11AFB74A" w14:textId="77777777" w:rsidR="00E44580" w:rsidRDefault="00E71881">
      <w:pPr>
        <w:pStyle w:val="E-JournalBody"/>
        <w:numPr>
          <w:ilvl w:val="0"/>
          <w:numId w:val="4"/>
        </w:numPr>
        <w:ind w:left="709" w:hanging="425"/>
        <w:rPr>
          <w:sz w:val="20"/>
          <w:szCs w:val="20"/>
        </w:rPr>
      </w:pPr>
      <w:r>
        <w:rPr>
          <w:sz w:val="20"/>
          <w:szCs w:val="20"/>
          <w:lang w:val="en-US"/>
        </w:rPr>
        <w:t xml:space="preserve">Coefficient of variation for accuracy </w:t>
      </w:r>
      <w:r>
        <w:rPr>
          <w:sz w:val="20"/>
          <w:szCs w:val="20"/>
        </w:rPr>
        <w:t>(%):</w:t>
      </w:r>
    </w:p>
    <w:p w14:paraId="1D17589E" w14:textId="77777777" w:rsidR="00E44580" w:rsidRDefault="00E71881">
      <w:pPr>
        <w:pStyle w:val="E-JournalBody"/>
        <w:ind w:left="709" w:firstLine="0"/>
        <w:rPr>
          <w:sz w:val="20"/>
          <w:szCs w:val="20"/>
        </w:rPr>
      </w:pPr>
      <m:oMath>
        <m:r>
          <w:rPr>
            <w:rFonts w:ascii="Cambria Math" w:hAnsi="Cambria Math"/>
            <w:sz w:val="18"/>
            <w:szCs w:val="18"/>
          </w:rPr>
          <m:t xml:space="preserve">CV = </m:t>
        </m:r>
        <m:f>
          <m:fPr>
            <m:ctrlPr>
              <w:rPr>
                <w:rFonts w:ascii="Cambria Math" w:hAnsi="Cambria Math"/>
                <w:i/>
                <w:sz w:val="18"/>
                <w:szCs w:val="18"/>
              </w:rPr>
            </m:ctrlPr>
          </m:fPr>
          <m:num>
            <m:r>
              <w:rPr>
                <w:rFonts w:ascii="Cambria Math" w:hAnsi="Cambria Math"/>
                <w:sz w:val="18"/>
                <w:szCs w:val="18"/>
              </w:rPr>
              <m:t>Std.  Deviation Accuracy</m:t>
            </m:r>
          </m:num>
          <m:den>
            <m:r>
              <w:rPr>
                <w:rFonts w:ascii="Cambria Math" w:hAnsi="Cambria Math"/>
                <w:sz w:val="18"/>
                <w:szCs w:val="18"/>
              </w:rPr>
              <m:t>Average Accuracy</m:t>
            </m:r>
          </m:den>
        </m:f>
      </m:oMath>
      <w:r>
        <w:rPr>
          <w:sz w:val="20"/>
          <w:szCs w:val="20"/>
        </w:rPr>
        <w:t xml:space="preserve"> x </w:t>
      </w:r>
      <w:r>
        <w:rPr>
          <w:sz w:val="18"/>
          <w:szCs w:val="18"/>
        </w:rPr>
        <w:t>100%</w:t>
      </w:r>
    </w:p>
    <w:p w14:paraId="23AF793A" w14:textId="77777777" w:rsidR="00E44580" w:rsidRDefault="00E71881">
      <w:pPr>
        <w:pStyle w:val="E-JournalBody"/>
        <w:ind w:left="709" w:firstLine="0"/>
        <w:rPr>
          <w:sz w:val="18"/>
          <w:szCs w:val="18"/>
        </w:rPr>
      </w:pPr>
      <w:r>
        <w:rPr>
          <w:sz w:val="18"/>
          <w:szCs w:val="18"/>
        </w:rPr>
        <w:t>CV = 3.12%</w:t>
      </w:r>
    </w:p>
    <w:p w14:paraId="1DCA6B3B" w14:textId="77777777" w:rsidR="00E44580" w:rsidRDefault="00E44580">
      <w:pPr>
        <w:rPr>
          <w:sz w:val="20"/>
          <w:szCs w:val="20"/>
        </w:rPr>
      </w:pPr>
    </w:p>
    <w:p w14:paraId="79808302" w14:textId="77777777" w:rsidR="00E44580" w:rsidRDefault="00E71881">
      <w:pPr>
        <w:pStyle w:val="E-JournalBody"/>
        <w:spacing w:before="240"/>
        <w:ind w:firstLine="284"/>
        <w:rPr>
          <w:sz w:val="20"/>
          <w:szCs w:val="20"/>
        </w:rPr>
      </w:pPr>
      <w:r>
        <w:rPr>
          <w:sz w:val="20"/>
          <w:szCs w:val="20"/>
          <w:lang w:val="en-US"/>
        </w:rPr>
        <w:t>The small RMSE value indicates that all variations are still within the threshold of industrial technical tolerance. While a low CV shows that the simulation is quite consistent and stable. RMSE analysis was carried out against the 90° target because it is a geometric design reference that is an industry standard, measuring the effectiveness of pre-bending angles in achieving the final result according to the design, as well as valid and prevalent practices in CAE/manufacturing studies.</w:t>
      </w:r>
    </w:p>
    <w:p w14:paraId="522ED5FE" w14:textId="77777777" w:rsidR="00E44580" w:rsidRDefault="00E44580"/>
    <w:p w14:paraId="69D44B43" w14:textId="77777777" w:rsidR="00E44580" w:rsidRDefault="00E71881">
      <w:pPr>
        <w:pStyle w:val="Heading2"/>
        <w:numPr>
          <w:ilvl w:val="1"/>
          <w:numId w:val="3"/>
        </w:numPr>
        <w:rPr>
          <w:lang w:val="en-US"/>
        </w:rPr>
      </w:pPr>
      <w:r>
        <w:t>F</w:t>
      </w:r>
      <w:proofErr w:type="spellStart"/>
      <w:r>
        <w:rPr>
          <w:lang w:val="en-US"/>
        </w:rPr>
        <w:t>ormation</w:t>
      </w:r>
      <w:proofErr w:type="spellEnd"/>
      <w:r>
        <w:rPr>
          <w:lang w:val="en-US"/>
        </w:rPr>
        <w:t xml:space="preserve"> Simulation Results Based on Bending Angle Parameters</w:t>
      </w:r>
    </w:p>
    <w:p w14:paraId="105828F4" w14:textId="77777777" w:rsidR="00E44580" w:rsidRDefault="00E71881">
      <w:pPr>
        <w:rPr>
          <w:sz w:val="20"/>
          <w:szCs w:val="28"/>
          <w:lang w:val="id-ID"/>
        </w:rPr>
      </w:pPr>
      <w:r>
        <w:rPr>
          <w:sz w:val="20"/>
          <w:szCs w:val="28"/>
          <w:lang w:val="id-ID"/>
        </w:rPr>
        <w:t xml:space="preserve">The </w:t>
      </w:r>
      <w:proofErr w:type="spellStart"/>
      <w:r>
        <w:rPr>
          <w:sz w:val="20"/>
          <w:szCs w:val="28"/>
          <w:lang w:val="id-ID"/>
        </w:rPr>
        <w:t>results</w:t>
      </w:r>
      <w:proofErr w:type="spellEnd"/>
      <w:r>
        <w:rPr>
          <w:sz w:val="20"/>
          <w:szCs w:val="28"/>
          <w:lang w:val="id-ID"/>
        </w:rPr>
        <w:t xml:space="preserve"> </w:t>
      </w:r>
      <w:proofErr w:type="spellStart"/>
      <w:r>
        <w:rPr>
          <w:sz w:val="20"/>
          <w:szCs w:val="28"/>
          <w:lang w:val="id-ID"/>
        </w:rPr>
        <w:t>obtained</w:t>
      </w:r>
      <w:proofErr w:type="spellEnd"/>
      <w:r>
        <w:rPr>
          <w:sz w:val="20"/>
          <w:szCs w:val="28"/>
          <w:lang w:val="id-ID"/>
        </w:rPr>
        <w:t xml:space="preserve"> </w:t>
      </w:r>
      <w:proofErr w:type="spellStart"/>
      <w:r>
        <w:rPr>
          <w:sz w:val="20"/>
          <w:szCs w:val="28"/>
          <w:lang w:val="id-ID"/>
        </w:rPr>
        <w:t>from</w:t>
      </w:r>
      <w:proofErr w:type="spellEnd"/>
      <w:r>
        <w:rPr>
          <w:sz w:val="20"/>
          <w:szCs w:val="28"/>
          <w:lang w:val="id-ID"/>
        </w:rPr>
        <w:t xml:space="preserve"> </w:t>
      </w:r>
      <w:proofErr w:type="spellStart"/>
      <w:r>
        <w:rPr>
          <w:sz w:val="20"/>
          <w:szCs w:val="28"/>
          <w:lang w:val="id-ID"/>
        </w:rPr>
        <w:t>the</w:t>
      </w:r>
      <w:proofErr w:type="spellEnd"/>
      <w:r>
        <w:rPr>
          <w:sz w:val="20"/>
          <w:szCs w:val="28"/>
          <w:lang w:val="id-ID"/>
        </w:rPr>
        <w:t xml:space="preserve"> data </w:t>
      </w:r>
      <w:proofErr w:type="spellStart"/>
      <w:r>
        <w:rPr>
          <w:sz w:val="20"/>
          <w:szCs w:val="28"/>
          <w:lang w:val="id-ID"/>
        </w:rPr>
        <w:t>that</w:t>
      </w:r>
      <w:proofErr w:type="spellEnd"/>
      <w:r>
        <w:rPr>
          <w:sz w:val="20"/>
          <w:szCs w:val="28"/>
          <w:lang w:val="id-ID"/>
        </w:rPr>
        <w:t xml:space="preserve"> </w:t>
      </w:r>
      <w:proofErr w:type="spellStart"/>
      <w:r>
        <w:rPr>
          <w:sz w:val="20"/>
          <w:szCs w:val="28"/>
          <w:lang w:val="id-ID"/>
        </w:rPr>
        <w:t>have</w:t>
      </w:r>
      <w:proofErr w:type="spellEnd"/>
      <w:r>
        <w:rPr>
          <w:sz w:val="20"/>
          <w:szCs w:val="28"/>
          <w:lang w:val="id-ID"/>
        </w:rPr>
        <w:t xml:space="preserve"> </w:t>
      </w:r>
      <w:proofErr w:type="spellStart"/>
      <w:r>
        <w:rPr>
          <w:sz w:val="20"/>
          <w:szCs w:val="28"/>
          <w:lang w:val="id-ID"/>
        </w:rPr>
        <w:t>been</w:t>
      </w:r>
      <w:proofErr w:type="spellEnd"/>
      <w:r>
        <w:rPr>
          <w:sz w:val="20"/>
          <w:szCs w:val="28"/>
          <w:lang w:val="id-ID"/>
        </w:rPr>
        <w:t xml:space="preserve"> </w:t>
      </w:r>
      <w:proofErr w:type="spellStart"/>
      <w:r>
        <w:rPr>
          <w:sz w:val="20"/>
          <w:szCs w:val="28"/>
          <w:lang w:val="id-ID"/>
        </w:rPr>
        <w:t>processed</w:t>
      </w:r>
      <w:proofErr w:type="spellEnd"/>
      <w:r>
        <w:rPr>
          <w:sz w:val="20"/>
          <w:szCs w:val="28"/>
          <w:lang w:val="id-ID"/>
        </w:rPr>
        <w:t xml:space="preserve"> </w:t>
      </w:r>
      <w:proofErr w:type="spellStart"/>
      <w:r>
        <w:rPr>
          <w:sz w:val="20"/>
          <w:szCs w:val="28"/>
          <w:lang w:val="id-ID"/>
        </w:rPr>
        <w:t>at</w:t>
      </w:r>
      <w:proofErr w:type="spellEnd"/>
      <w:r>
        <w:rPr>
          <w:sz w:val="20"/>
          <w:szCs w:val="28"/>
          <w:lang w:val="id-ID"/>
        </w:rPr>
        <w:t xml:space="preserve"> </w:t>
      </w:r>
      <w:proofErr w:type="spellStart"/>
      <w:r>
        <w:rPr>
          <w:sz w:val="20"/>
          <w:szCs w:val="28"/>
          <w:lang w:val="id-ID"/>
        </w:rPr>
        <w:t>the</w:t>
      </w:r>
      <w:proofErr w:type="spellEnd"/>
      <w:r>
        <w:rPr>
          <w:sz w:val="20"/>
          <w:szCs w:val="28"/>
          <w:lang w:val="id-ID"/>
        </w:rPr>
        <w:t xml:space="preserve"> data </w:t>
      </w:r>
      <w:proofErr w:type="spellStart"/>
      <w:r>
        <w:rPr>
          <w:sz w:val="20"/>
          <w:szCs w:val="28"/>
          <w:lang w:val="id-ID"/>
        </w:rPr>
        <w:t>processing</w:t>
      </w:r>
      <w:proofErr w:type="spellEnd"/>
      <w:r>
        <w:rPr>
          <w:sz w:val="20"/>
          <w:szCs w:val="28"/>
          <w:lang w:val="id-ID"/>
        </w:rPr>
        <w:t xml:space="preserve"> </w:t>
      </w:r>
      <w:proofErr w:type="spellStart"/>
      <w:r>
        <w:rPr>
          <w:sz w:val="20"/>
          <w:szCs w:val="28"/>
          <w:lang w:val="id-ID"/>
        </w:rPr>
        <w:t>stage</w:t>
      </w:r>
      <w:proofErr w:type="spellEnd"/>
      <w:r>
        <w:rPr>
          <w:sz w:val="20"/>
          <w:szCs w:val="28"/>
          <w:lang w:val="id-ID"/>
        </w:rPr>
        <w:t xml:space="preserve"> are </w:t>
      </w:r>
      <w:proofErr w:type="spellStart"/>
      <w:r>
        <w:rPr>
          <w:sz w:val="20"/>
          <w:szCs w:val="28"/>
          <w:lang w:val="id-ID"/>
        </w:rPr>
        <w:t>the</w:t>
      </w:r>
      <w:proofErr w:type="spellEnd"/>
      <w:r>
        <w:rPr>
          <w:sz w:val="20"/>
          <w:szCs w:val="28"/>
          <w:lang w:val="id-ID"/>
        </w:rPr>
        <w:t xml:space="preserve"> </w:t>
      </w:r>
      <w:proofErr w:type="spellStart"/>
      <w:r>
        <w:rPr>
          <w:sz w:val="20"/>
          <w:szCs w:val="28"/>
          <w:lang w:val="id-ID"/>
        </w:rPr>
        <w:t>results</w:t>
      </w:r>
      <w:proofErr w:type="spellEnd"/>
      <w:r>
        <w:rPr>
          <w:sz w:val="20"/>
          <w:szCs w:val="28"/>
          <w:lang w:val="id-ID"/>
        </w:rPr>
        <w:t xml:space="preserve"> </w:t>
      </w:r>
      <w:proofErr w:type="spellStart"/>
      <w:r>
        <w:rPr>
          <w:sz w:val="20"/>
          <w:szCs w:val="28"/>
          <w:lang w:val="id-ID"/>
        </w:rPr>
        <w:t>of</w:t>
      </w:r>
      <w:proofErr w:type="spellEnd"/>
      <w:r>
        <w:rPr>
          <w:sz w:val="20"/>
          <w:szCs w:val="28"/>
          <w:lang w:val="id-ID"/>
        </w:rPr>
        <w:t xml:space="preserve"> </w:t>
      </w:r>
      <w:proofErr w:type="spellStart"/>
      <w:r>
        <w:rPr>
          <w:sz w:val="20"/>
          <w:szCs w:val="28"/>
          <w:lang w:val="id-ID"/>
        </w:rPr>
        <w:t>software</w:t>
      </w:r>
      <w:proofErr w:type="spellEnd"/>
      <w:r>
        <w:rPr>
          <w:sz w:val="20"/>
          <w:szCs w:val="28"/>
          <w:lang w:val="id-ID"/>
        </w:rPr>
        <w:t xml:space="preserve"> </w:t>
      </w:r>
      <w:proofErr w:type="spellStart"/>
      <w:r>
        <w:rPr>
          <w:sz w:val="20"/>
          <w:szCs w:val="28"/>
          <w:lang w:val="id-ID"/>
        </w:rPr>
        <w:t>analysis</w:t>
      </w:r>
      <w:proofErr w:type="spellEnd"/>
      <w:r>
        <w:rPr>
          <w:sz w:val="20"/>
          <w:szCs w:val="28"/>
          <w:lang w:val="id-ID"/>
        </w:rPr>
        <w:t xml:space="preserve">, 3D </w:t>
      </w:r>
      <w:proofErr w:type="spellStart"/>
      <w:r>
        <w:rPr>
          <w:sz w:val="20"/>
          <w:szCs w:val="28"/>
          <w:lang w:val="id-ID"/>
        </w:rPr>
        <w:t>and</w:t>
      </w:r>
      <w:proofErr w:type="spellEnd"/>
      <w:r>
        <w:rPr>
          <w:sz w:val="20"/>
          <w:szCs w:val="28"/>
          <w:lang w:val="id-ID"/>
        </w:rPr>
        <w:t xml:space="preserve"> 2D dies </w:t>
      </w:r>
      <w:proofErr w:type="spellStart"/>
      <w:r>
        <w:rPr>
          <w:sz w:val="20"/>
          <w:szCs w:val="28"/>
          <w:lang w:val="id-ID"/>
        </w:rPr>
        <w:t>bending</w:t>
      </w:r>
      <w:proofErr w:type="spellEnd"/>
      <w:r>
        <w:rPr>
          <w:sz w:val="20"/>
          <w:szCs w:val="28"/>
          <w:lang w:val="id-ID"/>
        </w:rPr>
        <w:t xml:space="preserve"> </w:t>
      </w:r>
      <w:proofErr w:type="spellStart"/>
      <w:r>
        <w:rPr>
          <w:sz w:val="20"/>
          <w:szCs w:val="28"/>
          <w:lang w:val="id-ID"/>
        </w:rPr>
        <w:t>design</w:t>
      </w:r>
      <w:proofErr w:type="spellEnd"/>
      <w:r>
        <w:rPr>
          <w:sz w:val="20"/>
          <w:szCs w:val="28"/>
          <w:lang w:val="id-ID"/>
        </w:rPr>
        <w:t xml:space="preserve">, </w:t>
      </w:r>
      <w:proofErr w:type="spellStart"/>
      <w:r>
        <w:rPr>
          <w:sz w:val="20"/>
          <w:szCs w:val="28"/>
          <w:lang w:val="id-ID"/>
        </w:rPr>
        <w:t>and</w:t>
      </w:r>
      <w:proofErr w:type="spellEnd"/>
      <w:r>
        <w:rPr>
          <w:sz w:val="20"/>
          <w:szCs w:val="28"/>
          <w:lang w:val="id-ID"/>
        </w:rPr>
        <w:t xml:space="preserve"> </w:t>
      </w:r>
      <w:proofErr w:type="spellStart"/>
      <w:r>
        <w:rPr>
          <w:sz w:val="20"/>
          <w:szCs w:val="28"/>
          <w:lang w:val="id-ID"/>
        </w:rPr>
        <w:t>finally</w:t>
      </w:r>
      <w:proofErr w:type="spellEnd"/>
      <w:r>
        <w:rPr>
          <w:sz w:val="20"/>
          <w:szCs w:val="28"/>
          <w:lang w:val="id-ID"/>
        </w:rPr>
        <w:t xml:space="preserve"> </w:t>
      </w:r>
      <w:proofErr w:type="spellStart"/>
      <w:r>
        <w:rPr>
          <w:sz w:val="20"/>
          <w:szCs w:val="28"/>
          <w:lang w:val="id-ID"/>
        </w:rPr>
        <w:t>the</w:t>
      </w:r>
      <w:proofErr w:type="spellEnd"/>
      <w:r>
        <w:rPr>
          <w:sz w:val="20"/>
          <w:szCs w:val="28"/>
          <w:lang w:val="id-ID"/>
        </w:rPr>
        <w:t xml:space="preserve"> CAM </w:t>
      </w:r>
      <w:proofErr w:type="spellStart"/>
      <w:r>
        <w:rPr>
          <w:sz w:val="20"/>
          <w:szCs w:val="28"/>
          <w:lang w:val="id-ID"/>
        </w:rPr>
        <w:t>process</w:t>
      </w:r>
      <w:proofErr w:type="spellEnd"/>
      <w:r>
        <w:rPr>
          <w:sz w:val="20"/>
          <w:szCs w:val="28"/>
          <w:lang w:val="id-ID"/>
        </w:rPr>
        <w:t xml:space="preserve"> </w:t>
      </w:r>
      <w:proofErr w:type="spellStart"/>
      <w:r>
        <w:rPr>
          <w:sz w:val="20"/>
          <w:szCs w:val="28"/>
          <w:lang w:val="id-ID"/>
        </w:rPr>
        <w:t>of</w:t>
      </w:r>
      <w:proofErr w:type="spellEnd"/>
      <w:r>
        <w:rPr>
          <w:sz w:val="20"/>
          <w:szCs w:val="28"/>
          <w:lang w:val="id-ID"/>
        </w:rPr>
        <w:t xml:space="preserve"> </w:t>
      </w:r>
      <w:proofErr w:type="spellStart"/>
      <w:r>
        <w:rPr>
          <w:sz w:val="20"/>
          <w:szCs w:val="28"/>
          <w:lang w:val="id-ID"/>
        </w:rPr>
        <w:t>each</w:t>
      </w:r>
      <w:proofErr w:type="spellEnd"/>
      <w:r>
        <w:rPr>
          <w:sz w:val="20"/>
          <w:szCs w:val="28"/>
          <w:lang w:val="id-ID"/>
        </w:rPr>
        <w:t xml:space="preserve"> dies </w:t>
      </w:r>
      <w:proofErr w:type="spellStart"/>
      <w:r>
        <w:rPr>
          <w:sz w:val="20"/>
          <w:szCs w:val="28"/>
          <w:lang w:val="id-ID"/>
        </w:rPr>
        <w:t>component</w:t>
      </w:r>
      <w:proofErr w:type="spellEnd"/>
      <w:r>
        <w:rPr>
          <w:sz w:val="20"/>
          <w:szCs w:val="28"/>
          <w:lang w:val="id-ID"/>
        </w:rPr>
        <w:t xml:space="preserve">. </w:t>
      </w:r>
      <w:proofErr w:type="spellStart"/>
      <w:r>
        <w:rPr>
          <w:sz w:val="20"/>
          <w:szCs w:val="28"/>
          <w:lang w:val="id-ID"/>
        </w:rPr>
        <w:t>Each</w:t>
      </w:r>
      <w:proofErr w:type="spellEnd"/>
      <w:r>
        <w:rPr>
          <w:sz w:val="20"/>
          <w:szCs w:val="28"/>
          <w:lang w:val="id-ID"/>
        </w:rPr>
        <w:t xml:space="preserve"> parameter </w:t>
      </w:r>
      <w:proofErr w:type="spellStart"/>
      <w:r>
        <w:rPr>
          <w:sz w:val="20"/>
          <w:szCs w:val="28"/>
          <w:lang w:val="id-ID"/>
        </w:rPr>
        <w:t>was</w:t>
      </w:r>
      <w:proofErr w:type="spellEnd"/>
      <w:r>
        <w:rPr>
          <w:sz w:val="20"/>
          <w:szCs w:val="28"/>
          <w:lang w:val="id-ID"/>
        </w:rPr>
        <w:t xml:space="preserve"> </w:t>
      </w:r>
      <w:proofErr w:type="spellStart"/>
      <w:r>
        <w:rPr>
          <w:sz w:val="20"/>
          <w:szCs w:val="28"/>
          <w:lang w:val="id-ID"/>
        </w:rPr>
        <w:t>tested</w:t>
      </w:r>
      <w:proofErr w:type="spellEnd"/>
      <w:r>
        <w:rPr>
          <w:sz w:val="20"/>
          <w:szCs w:val="28"/>
          <w:lang w:val="id-ID"/>
        </w:rPr>
        <w:t xml:space="preserve"> </w:t>
      </w:r>
      <w:proofErr w:type="spellStart"/>
      <w:r>
        <w:rPr>
          <w:sz w:val="20"/>
          <w:szCs w:val="28"/>
          <w:lang w:val="id-ID"/>
        </w:rPr>
        <w:t>to</w:t>
      </w:r>
      <w:proofErr w:type="spellEnd"/>
      <w:r>
        <w:rPr>
          <w:sz w:val="20"/>
          <w:szCs w:val="28"/>
          <w:lang w:val="id-ID"/>
        </w:rPr>
        <w:t xml:space="preserve"> </w:t>
      </w:r>
      <w:proofErr w:type="spellStart"/>
      <w:r>
        <w:rPr>
          <w:sz w:val="20"/>
          <w:szCs w:val="28"/>
          <w:lang w:val="id-ID"/>
        </w:rPr>
        <w:t>determine</w:t>
      </w:r>
      <w:proofErr w:type="spellEnd"/>
      <w:r>
        <w:rPr>
          <w:sz w:val="20"/>
          <w:szCs w:val="28"/>
          <w:lang w:val="id-ID"/>
        </w:rPr>
        <w:t xml:space="preserve"> </w:t>
      </w:r>
      <w:proofErr w:type="spellStart"/>
      <w:r>
        <w:rPr>
          <w:sz w:val="20"/>
          <w:szCs w:val="28"/>
          <w:lang w:val="id-ID"/>
        </w:rPr>
        <w:t>the</w:t>
      </w:r>
      <w:proofErr w:type="spellEnd"/>
      <w:r>
        <w:rPr>
          <w:sz w:val="20"/>
          <w:szCs w:val="28"/>
          <w:lang w:val="id-ID"/>
        </w:rPr>
        <w:t xml:space="preserve"> </w:t>
      </w:r>
      <w:proofErr w:type="spellStart"/>
      <w:r>
        <w:rPr>
          <w:sz w:val="20"/>
          <w:szCs w:val="28"/>
          <w:lang w:val="id-ID"/>
        </w:rPr>
        <w:t>actual</w:t>
      </w:r>
      <w:proofErr w:type="spellEnd"/>
      <w:r>
        <w:rPr>
          <w:sz w:val="20"/>
          <w:szCs w:val="28"/>
          <w:lang w:val="id-ID"/>
        </w:rPr>
        <w:t xml:space="preserve"> </w:t>
      </w:r>
      <w:proofErr w:type="spellStart"/>
      <w:r>
        <w:rPr>
          <w:sz w:val="20"/>
          <w:szCs w:val="28"/>
          <w:lang w:val="id-ID"/>
        </w:rPr>
        <w:t>angular</w:t>
      </w:r>
      <w:proofErr w:type="spellEnd"/>
      <w:r>
        <w:rPr>
          <w:sz w:val="20"/>
          <w:szCs w:val="28"/>
          <w:lang w:val="id-ID"/>
        </w:rPr>
        <w:t xml:space="preserve"> </w:t>
      </w:r>
      <w:proofErr w:type="spellStart"/>
      <w:r>
        <w:rPr>
          <w:sz w:val="20"/>
          <w:szCs w:val="28"/>
          <w:lang w:val="id-ID"/>
        </w:rPr>
        <w:t>deviation</w:t>
      </w:r>
      <w:proofErr w:type="spellEnd"/>
      <w:r>
        <w:rPr>
          <w:sz w:val="20"/>
          <w:szCs w:val="28"/>
          <w:lang w:val="id-ID"/>
        </w:rPr>
        <w:t xml:space="preserve"> </w:t>
      </w:r>
      <w:proofErr w:type="spellStart"/>
      <w:r>
        <w:rPr>
          <w:sz w:val="20"/>
          <w:szCs w:val="28"/>
          <w:lang w:val="id-ID"/>
        </w:rPr>
        <w:t>from</w:t>
      </w:r>
      <w:proofErr w:type="spellEnd"/>
      <w:r>
        <w:rPr>
          <w:sz w:val="20"/>
          <w:szCs w:val="28"/>
          <w:lang w:val="id-ID"/>
        </w:rPr>
        <w:t xml:space="preserve"> </w:t>
      </w:r>
      <w:proofErr w:type="spellStart"/>
      <w:r>
        <w:rPr>
          <w:sz w:val="20"/>
          <w:szCs w:val="28"/>
          <w:lang w:val="id-ID"/>
        </w:rPr>
        <w:t>the</w:t>
      </w:r>
      <w:proofErr w:type="spellEnd"/>
      <w:r>
        <w:rPr>
          <w:sz w:val="20"/>
          <w:szCs w:val="28"/>
          <w:lang w:val="id-ID"/>
        </w:rPr>
        <w:t xml:space="preserve"> ideal </w:t>
      </w:r>
      <w:proofErr w:type="spellStart"/>
      <w:r>
        <w:rPr>
          <w:sz w:val="20"/>
          <w:szCs w:val="28"/>
          <w:lang w:val="id-ID"/>
        </w:rPr>
        <w:t>design</w:t>
      </w:r>
      <w:proofErr w:type="spellEnd"/>
      <w:r>
        <w:rPr>
          <w:sz w:val="20"/>
          <w:szCs w:val="28"/>
          <w:lang w:val="id-ID"/>
        </w:rPr>
        <w:t xml:space="preserve"> </w:t>
      </w:r>
      <w:proofErr w:type="spellStart"/>
      <w:r>
        <w:rPr>
          <w:sz w:val="20"/>
          <w:szCs w:val="28"/>
          <w:lang w:val="id-ID"/>
        </w:rPr>
        <w:t>of</w:t>
      </w:r>
      <w:proofErr w:type="spellEnd"/>
      <w:r>
        <w:rPr>
          <w:sz w:val="20"/>
          <w:szCs w:val="28"/>
          <w:lang w:val="id-ID"/>
        </w:rPr>
        <w:t xml:space="preserve"> </w:t>
      </w:r>
      <w:proofErr w:type="spellStart"/>
      <w:r>
        <w:rPr>
          <w:sz w:val="20"/>
          <w:szCs w:val="28"/>
          <w:lang w:val="id-ID"/>
        </w:rPr>
        <w:t>the</w:t>
      </w:r>
      <w:proofErr w:type="spellEnd"/>
      <w:r>
        <w:rPr>
          <w:sz w:val="20"/>
          <w:szCs w:val="28"/>
          <w:lang w:val="id-ID"/>
        </w:rPr>
        <w:t xml:space="preserve"> </w:t>
      </w:r>
      <w:proofErr w:type="spellStart"/>
      <w:r>
        <w:rPr>
          <w:sz w:val="20"/>
          <w:szCs w:val="28"/>
          <w:lang w:val="id-ID"/>
        </w:rPr>
        <w:t>rear</w:t>
      </w:r>
      <w:proofErr w:type="spellEnd"/>
      <w:r>
        <w:rPr>
          <w:sz w:val="20"/>
          <w:szCs w:val="28"/>
          <w:lang w:val="id-ID"/>
        </w:rPr>
        <w:t xml:space="preserve"> spring front 2 </w:t>
      </w:r>
      <w:proofErr w:type="spellStart"/>
      <w:r>
        <w:rPr>
          <w:sz w:val="20"/>
          <w:szCs w:val="28"/>
          <w:lang w:val="id-ID"/>
        </w:rPr>
        <w:t>bracket</w:t>
      </w:r>
      <w:proofErr w:type="spellEnd"/>
      <w:r>
        <w:rPr>
          <w:sz w:val="20"/>
          <w:szCs w:val="28"/>
          <w:lang w:val="id-ID"/>
        </w:rPr>
        <w:t xml:space="preserve"> </w:t>
      </w:r>
      <w:proofErr w:type="spellStart"/>
      <w:r>
        <w:rPr>
          <w:sz w:val="20"/>
          <w:szCs w:val="28"/>
          <w:lang w:val="id-ID"/>
        </w:rPr>
        <w:t>part</w:t>
      </w:r>
      <w:proofErr w:type="spellEnd"/>
      <w:r>
        <w:rPr>
          <w:sz w:val="20"/>
          <w:szCs w:val="28"/>
          <w:lang w:val="id-ID"/>
        </w:rPr>
        <w:t xml:space="preserve">, </w:t>
      </w:r>
      <w:proofErr w:type="spellStart"/>
      <w:r>
        <w:rPr>
          <w:sz w:val="20"/>
          <w:szCs w:val="28"/>
          <w:lang w:val="id-ID"/>
        </w:rPr>
        <w:t>focusing</w:t>
      </w:r>
      <w:proofErr w:type="spellEnd"/>
      <w:r>
        <w:rPr>
          <w:sz w:val="20"/>
          <w:szCs w:val="28"/>
          <w:lang w:val="id-ID"/>
        </w:rPr>
        <w:t xml:space="preserve"> </w:t>
      </w:r>
      <w:proofErr w:type="spellStart"/>
      <w:r>
        <w:rPr>
          <w:sz w:val="20"/>
          <w:szCs w:val="28"/>
          <w:lang w:val="id-ID"/>
        </w:rPr>
        <w:t>on</w:t>
      </w:r>
      <w:proofErr w:type="spellEnd"/>
      <w:r>
        <w:rPr>
          <w:sz w:val="20"/>
          <w:szCs w:val="28"/>
          <w:lang w:val="id-ID"/>
        </w:rPr>
        <w:t xml:space="preserve"> </w:t>
      </w:r>
      <w:proofErr w:type="spellStart"/>
      <w:r>
        <w:rPr>
          <w:sz w:val="20"/>
          <w:szCs w:val="28"/>
          <w:lang w:val="id-ID"/>
        </w:rPr>
        <w:t>the</w:t>
      </w:r>
      <w:proofErr w:type="spellEnd"/>
      <w:r>
        <w:rPr>
          <w:sz w:val="20"/>
          <w:szCs w:val="28"/>
          <w:lang w:val="id-ID"/>
        </w:rPr>
        <w:t xml:space="preserve"> </w:t>
      </w:r>
      <w:proofErr w:type="spellStart"/>
      <w:r>
        <w:rPr>
          <w:sz w:val="20"/>
          <w:szCs w:val="28"/>
          <w:lang w:val="id-ID"/>
        </w:rPr>
        <w:t>effect</w:t>
      </w:r>
      <w:proofErr w:type="spellEnd"/>
      <w:r>
        <w:rPr>
          <w:sz w:val="20"/>
          <w:szCs w:val="28"/>
          <w:lang w:val="id-ID"/>
        </w:rPr>
        <w:t xml:space="preserve"> </w:t>
      </w:r>
      <w:proofErr w:type="spellStart"/>
      <w:r>
        <w:rPr>
          <w:sz w:val="20"/>
          <w:szCs w:val="28"/>
          <w:lang w:val="id-ID"/>
        </w:rPr>
        <w:t>on</w:t>
      </w:r>
      <w:proofErr w:type="spellEnd"/>
      <w:r>
        <w:rPr>
          <w:sz w:val="20"/>
          <w:szCs w:val="28"/>
          <w:lang w:val="id-ID"/>
        </w:rPr>
        <w:t xml:space="preserve"> </w:t>
      </w:r>
      <w:proofErr w:type="spellStart"/>
      <w:r>
        <w:rPr>
          <w:sz w:val="20"/>
          <w:szCs w:val="28"/>
          <w:lang w:val="id-ID"/>
        </w:rPr>
        <w:t>springback</w:t>
      </w:r>
      <w:proofErr w:type="spellEnd"/>
      <w:r>
        <w:rPr>
          <w:sz w:val="20"/>
          <w:szCs w:val="28"/>
          <w:lang w:val="id-ID"/>
        </w:rPr>
        <w:t xml:space="preserve"> </w:t>
      </w:r>
      <w:proofErr w:type="spellStart"/>
      <w:r>
        <w:rPr>
          <w:sz w:val="20"/>
          <w:szCs w:val="28"/>
          <w:lang w:val="id-ID"/>
        </w:rPr>
        <w:t>defects</w:t>
      </w:r>
      <w:proofErr w:type="spellEnd"/>
      <w:r>
        <w:rPr>
          <w:sz w:val="20"/>
          <w:szCs w:val="28"/>
          <w:lang w:val="id-ID"/>
        </w:rPr>
        <w:t xml:space="preserve">. The </w:t>
      </w:r>
      <w:proofErr w:type="spellStart"/>
      <w:r>
        <w:rPr>
          <w:sz w:val="20"/>
          <w:szCs w:val="28"/>
          <w:lang w:val="id-ID"/>
        </w:rPr>
        <w:t>following</w:t>
      </w:r>
      <w:proofErr w:type="spellEnd"/>
      <w:r>
        <w:rPr>
          <w:sz w:val="20"/>
          <w:szCs w:val="28"/>
          <w:lang w:val="id-ID"/>
        </w:rPr>
        <w:t xml:space="preserve"> are </w:t>
      </w:r>
      <w:proofErr w:type="spellStart"/>
      <w:r>
        <w:rPr>
          <w:sz w:val="20"/>
          <w:szCs w:val="28"/>
          <w:lang w:val="id-ID"/>
        </w:rPr>
        <w:t>the</w:t>
      </w:r>
      <w:proofErr w:type="spellEnd"/>
      <w:r>
        <w:rPr>
          <w:sz w:val="20"/>
          <w:szCs w:val="28"/>
          <w:lang w:val="id-ID"/>
        </w:rPr>
        <w:t xml:space="preserve"> </w:t>
      </w:r>
      <w:proofErr w:type="spellStart"/>
      <w:r>
        <w:rPr>
          <w:sz w:val="20"/>
          <w:szCs w:val="28"/>
          <w:lang w:val="id-ID"/>
        </w:rPr>
        <w:t>processing</w:t>
      </w:r>
      <w:proofErr w:type="spellEnd"/>
      <w:r>
        <w:rPr>
          <w:sz w:val="20"/>
          <w:szCs w:val="28"/>
          <w:lang w:val="id-ID"/>
        </w:rPr>
        <w:t xml:space="preserve"> </w:t>
      </w:r>
      <w:proofErr w:type="spellStart"/>
      <w:r>
        <w:rPr>
          <w:sz w:val="20"/>
          <w:szCs w:val="28"/>
          <w:lang w:val="id-ID"/>
        </w:rPr>
        <w:t>results</w:t>
      </w:r>
      <w:proofErr w:type="spellEnd"/>
      <w:r>
        <w:rPr>
          <w:sz w:val="20"/>
          <w:szCs w:val="28"/>
          <w:lang w:val="id-ID"/>
        </w:rPr>
        <w:t xml:space="preserve"> </w:t>
      </w:r>
      <w:proofErr w:type="spellStart"/>
      <w:r>
        <w:rPr>
          <w:sz w:val="20"/>
          <w:szCs w:val="28"/>
          <w:lang w:val="id-ID"/>
        </w:rPr>
        <w:t>of</w:t>
      </w:r>
      <w:proofErr w:type="spellEnd"/>
      <w:r>
        <w:rPr>
          <w:sz w:val="20"/>
          <w:szCs w:val="28"/>
          <w:lang w:val="id-ID"/>
        </w:rPr>
        <w:t xml:space="preserve"> </w:t>
      </w:r>
      <w:proofErr w:type="spellStart"/>
      <w:r>
        <w:rPr>
          <w:sz w:val="20"/>
          <w:szCs w:val="28"/>
          <w:lang w:val="id-ID"/>
        </w:rPr>
        <w:t>each</w:t>
      </w:r>
      <w:proofErr w:type="spellEnd"/>
      <w:r>
        <w:rPr>
          <w:sz w:val="20"/>
          <w:szCs w:val="28"/>
          <w:lang w:val="id-ID"/>
        </w:rPr>
        <w:t xml:space="preserve"> data </w:t>
      </w:r>
      <w:proofErr w:type="spellStart"/>
      <w:r>
        <w:rPr>
          <w:sz w:val="20"/>
          <w:szCs w:val="28"/>
          <w:lang w:val="id-ID"/>
        </w:rPr>
        <w:t>that</w:t>
      </w:r>
      <w:proofErr w:type="spellEnd"/>
      <w:r>
        <w:rPr>
          <w:sz w:val="20"/>
          <w:szCs w:val="28"/>
          <w:lang w:val="id-ID"/>
        </w:rPr>
        <w:t xml:space="preserve"> has </w:t>
      </w:r>
      <w:proofErr w:type="spellStart"/>
      <w:r>
        <w:rPr>
          <w:sz w:val="20"/>
          <w:szCs w:val="28"/>
          <w:lang w:val="id-ID"/>
        </w:rPr>
        <w:t>been</w:t>
      </w:r>
      <w:proofErr w:type="spellEnd"/>
      <w:r>
        <w:rPr>
          <w:sz w:val="20"/>
          <w:szCs w:val="28"/>
          <w:lang w:val="id-ID"/>
        </w:rPr>
        <w:t xml:space="preserve"> </w:t>
      </w:r>
      <w:proofErr w:type="spellStart"/>
      <w:r>
        <w:rPr>
          <w:sz w:val="20"/>
          <w:szCs w:val="28"/>
          <w:lang w:val="id-ID"/>
        </w:rPr>
        <w:t>processed</w:t>
      </w:r>
      <w:proofErr w:type="spellEnd"/>
      <w:r>
        <w:rPr>
          <w:sz w:val="20"/>
          <w:szCs w:val="28"/>
          <w:lang w:val="id-ID"/>
        </w:rPr>
        <w:t xml:space="preserve"> </w:t>
      </w:r>
      <w:proofErr w:type="spellStart"/>
      <w:r>
        <w:rPr>
          <w:sz w:val="20"/>
          <w:szCs w:val="28"/>
          <w:lang w:val="id-ID"/>
        </w:rPr>
        <w:t>based</w:t>
      </w:r>
      <w:proofErr w:type="spellEnd"/>
      <w:r>
        <w:rPr>
          <w:sz w:val="20"/>
          <w:szCs w:val="28"/>
          <w:lang w:val="id-ID"/>
        </w:rPr>
        <w:t xml:space="preserve"> </w:t>
      </w:r>
      <w:proofErr w:type="spellStart"/>
      <w:r>
        <w:rPr>
          <w:sz w:val="20"/>
          <w:szCs w:val="28"/>
          <w:lang w:val="id-ID"/>
        </w:rPr>
        <w:t>on</w:t>
      </w:r>
      <w:proofErr w:type="spellEnd"/>
      <w:r>
        <w:rPr>
          <w:sz w:val="20"/>
          <w:szCs w:val="28"/>
          <w:lang w:val="id-ID"/>
        </w:rPr>
        <w:t xml:space="preserve"> </w:t>
      </w:r>
      <w:proofErr w:type="spellStart"/>
      <w:r>
        <w:rPr>
          <w:sz w:val="20"/>
          <w:szCs w:val="28"/>
          <w:lang w:val="id-ID"/>
        </w:rPr>
        <w:t>four</w:t>
      </w:r>
      <w:proofErr w:type="spellEnd"/>
      <w:r>
        <w:rPr>
          <w:sz w:val="20"/>
          <w:szCs w:val="28"/>
          <w:lang w:val="id-ID"/>
        </w:rPr>
        <w:t xml:space="preserve"> </w:t>
      </w:r>
      <w:proofErr w:type="spellStart"/>
      <w:r>
        <w:rPr>
          <w:sz w:val="20"/>
          <w:szCs w:val="28"/>
          <w:lang w:val="id-ID"/>
        </w:rPr>
        <w:t>variations</w:t>
      </w:r>
      <w:proofErr w:type="spellEnd"/>
      <w:r>
        <w:rPr>
          <w:sz w:val="20"/>
          <w:szCs w:val="28"/>
          <w:lang w:val="id-ID"/>
        </w:rPr>
        <w:t xml:space="preserve"> </w:t>
      </w:r>
      <w:proofErr w:type="spellStart"/>
      <w:r>
        <w:rPr>
          <w:sz w:val="20"/>
          <w:szCs w:val="28"/>
          <w:lang w:val="id-ID"/>
        </w:rPr>
        <w:t>of</w:t>
      </w:r>
      <w:proofErr w:type="spellEnd"/>
      <w:r>
        <w:rPr>
          <w:sz w:val="20"/>
          <w:szCs w:val="28"/>
          <w:lang w:val="id-ID"/>
        </w:rPr>
        <w:t xml:space="preserve"> </w:t>
      </w:r>
      <w:proofErr w:type="spellStart"/>
      <w:r>
        <w:rPr>
          <w:sz w:val="20"/>
          <w:szCs w:val="28"/>
          <w:lang w:val="id-ID"/>
        </w:rPr>
        <w:t>bending</w:t>
      </w:r>
      <w:proofErr w:type="spellEnd"/>
      <w:r>
        <w:rPr>
          <w:sz w:val="20"/>
          <w:szCs w:val="28"/>
          <w:lang w:val="id-ID"/>
        </w:rPr>
        <w:t xml:space="preserve"> </w:t>
      </w:r>
      <w:proofErr w:type="spellStart"/>
      <w:r>
        <w:rPr>
          <w:sz w:val="20"/>
          <w:szCs w:val="28"/>
          <w:lang w:val="id-ID"/>
        </w:rPr>
        <w:t>angles</w:t>
      </w:r>
      <w:proofErr w:type="spellEnd"/>
      <w:r>
        <w:rPr>
          <w:sz w:val="20"/>
          <w:szCs w:val="28"/>
          <w:lang w:val="id-ID"/>
        </w:rPr>
        <w:t xml:space="preserve"> (88.5°, 89°, 90°, </w:t>
      </w:r>
      <w:proofErr w:type="spellStart"/>
      <w:r>
        <w:rPr>
          <w:sz w:val="20"/>
          <w:szCs w:val="28"/>
          <w:lang w:val="id-ID"/>
        </w:rPr>
        <w:t>and</w:t>
      </w:r>
      <w:proofErr w:type="spellEnd"/>
      <w:r>
        <w:rPr>
          <w:sz w:val="20"/>
          <w:szCs w:val="28"/>
          <w:lang w:val="id-ID"/>
        </w:rPr>
        <w:t xml:space="preserve"> 90.92°) </w:t>
      </w:r>
      <w:proofErr w:type="spellStart"/>
      <w:r>
        <w:rPr>
          <w:sz w:val="20"/>
          <w:szCs w:val="28"/>
          <w:lang w:val="id-ID"/>
        </w:rPr>
        <w:t>using</w:t>
      </w:r>
      <w:proofErr w:type="spellEnd"/>
      <w:r>
        <w:rPr>
          <w:sz w:val="20"/>
          <w:szCs w:val="28"/>
          <w:lang w:val="id-ID"/>
        </w:rPr>
        <w:t xml:space="preserve"> </w:t>
      </w:r>
      <w:proofErr w:type="spellStart"/>
      <w:r>
        <w:rPr>
          <w:sz w:val="20"/>
          <w:szCs w:val="28"/>
          <w:lang w:val="id-ID"/>
        </w:rPr>
        <w:t>the</w:t>
      </w:r>
      <w:proofErr w:type="spellEnd"/>
      <w:r>
        <w:rPr>
          <w:sz w:val="20"/>
          <w:szCs w:val="28"/>
          <w:lang w:val="id-ID"/>
        </w:rPr>
        <w:t xml:space="preserve"> </w:t>
      </w:r>
      <w:proofErr w:type="spellStart"/>
      <w:r>
        <w:rPr>
          <w:sz w:val="20"/>
          <w:szCs w:val="28"/>
          <w:lang w:val="id-ID"/>
        </w:rPr>
        <w:t>Computer</w:t>
      </w:r>
      <w:proofErr w:type="spellEnd"/>
      <w:r>
        <w:rPr>
          <w:sz w:val="20"/>
          <w:szCs w:val="28"/>
          <w:lang w:val="id-ID"/>
        </w:rPr>
        <w:t xml:space="preserve"> </w:t>
      </w:r>
      <w:proofErr w:type="spellStart"/>
      <w:r>
        <w:rPr>
          <w:sz w:val="20"/>
          <w:szCs w:val="28"/>
          <w:lang w:val="id-ID"/>
        </w:rPr>
        <w:t>Aided</w:t>
      </w:r>
      <w:proofErr w:type="spellEnd"/>
      <w:r>
        <w:rPr>
          <w:sz w:val="20"/>
          <w:szCs w:val="28"/>
          <w:lang w:val="id-ID"/>
        </w:rPr>
        <w:t xml:space="preserve"> Engineering (CAE) </w:t>
      </w:r>
      <w:proofErr w:type="spellStart"/>
      <w:r>
        <w:rPr>
          <w:sz w:val="20"/>
          <w:szCs w:val="28"/>
          <w:lang w:val="id-ID"/>
        </w:rPr>
        <w:t>simulation</w:t>
      </w:r>
      <w:proofErr w:type="spellEnd"/>
      <w:r>
        <w:rPr>
          <w:sz w:val="20"/>
          <w:szCs w:val="28"/>
          <w:lang w:val="id-ID"/>
        </w:rPr>
        <w:t xml:space="preserve"> </w:t>
      </w:r>
      <w:proofErr w:type="spellStart"/>
      <w:r>
        <w:rPr>
          <w:sz w:val="20"/>
          <w:szCs w:val="28"/>
          <w:lang w:val="id-ID"/>
        </w:rPr>
        <w:t>approach</w:t>
      </w:r>
      <w:proofErr w:type="spellEnd"/>
      <w:r>
        <w:rPr>
          <w:sz w:val="20"/>
          <w:szCs w:val="28"/>
          <w:lang w:val="id-ID"/>
        </w:rPr>
        <w:t>:</w:t>
      </w:r>
    </w:p>
    <w:p w14:paraId="2127C36D" w14:textId="77777777" w:rsidR="00E44580" w:rsidRDefault="00E44580">
      <w:pPr>
        <w:rPr>
          <w:sz w:val="20"/>
          <w:szCs w:val="28"/>
          <w:lang w:val="id-ID"/>
        </w:rPr>
      </w:pPr>
    </w:p>
    <w:p w14:paraId="0D80FB93" w14:textId="77777777" w:rsidR="00E44580" w:rsidRDefault="00E71881">
      <w:pPr>
        <w:jc w:val="center"/>
        <w:rPr>
          <w:sz w:val="20"/>
          <w:szCs w:val="28"/>
        </w:rPr>
      </w:pPr>
      <w:r>
        <w:rPr>
          <w:sz w:val="20"/>
          <w:szCs w:val="28"/>
        </w:rPr>
        <w:t>Table 1. CAE Simulation Results with Angle Variations</w:t>
      </w:r>
    </w:p>
    <w:tbl>
      <w:tblPr>
        <w:tblStyle w:val="TableGrid"/>
        <w:tblW w:w="4394"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1417"/>
        <w:gridCol w:w="992"/>
        <w:gridCol w:w="1134"/>
      </w:tblGrid>
      <w:tr w:rsidR="00E44580" w14:paraId="6CBD4541" w14:textId="77777777">
        <w:trPr>
          <w:jc w:val="center"/>
        </w:trPr>
        <w:tc>
          <w:tcPr>
            <w:tcW w:w="851" w:type="dxa"/>
            <w:tcBorders>
              <w:top w:val="single" w:sz="4" w:space="0" w:color="auto"/>
              <w:bottom w:val="single" w:sz="4" w:space="0" w:color="auto"/>
            </w:tcBorders>
          </w:tcPr>
          <w:p w14:paraId="283FFB1D" w14:textId="77777777" w:rsidR="00E44580" w:rsidRDefault="00E71881">
            <w:r>
              <w:t>Bending Angle</w:t>
            </w:r>
          </w:p>
        </w:tc>
        <w:tc>
          <w:tcPr>
            <w:tcW w:w="1417" w:type="dxa"/>
            <w:tcBorders>
              <w:top w:val="single" w:sz="4" w:space="0" w:color="auto"/>
              <w:bottom w:val="single" w:sz="4" w:space="0" w:color="auto"/>
            </w:tcBorders>
          </w:tcPr>
          <w:p w14:paraId="399150AA" w14:textId="77777777" w:rsidR="00E44580" w:rsidRDefault="00E71881">
            <w:r>
              <w:t>Final Deformation (</w:t>
            </w:r>
            <w:r>
              <w:rPr>
                <w:vertAlign w:val="superscript"/>
              </w:rPr>
              <w:t>o</w:t>
            </w:r>
            <w:r>
              <w:t>)</w:t>
            </w:r>
          </w:p>
        </w:tc>
        <w:tc>
          <w:tcPr>
            <w:tcW w:w="992" w:type="dxa"/>
            <w:tcBorders>
              <w:top w:val="single" w:sz="4" w:space="0" w:color="auto"/>
              <w:bottom w:val="single" w:sz="4" w:space="0" w:color="auto"/>
            </w:tcBorders>
          </w:tcPr>
          <w:p w14:paraId="16D06E64" w14:textId="77777777" w:rsidR="00E44580" w:rsidRDefault="00E71881">
            <w:r>
              <w:t>Deviation to Angle</w:t>
            </w:r>
          </w:p>
        </w:tc>
        <w:tc>
          <w:tcPr>
            <w:tcW w:w="1134" w:type="dxa"/>
            <w:tcBorders>
              <w:top w:val="single" w:sz="4" w:space="0" w:color="auto"/>
              <w:bottom w:val="single" w:sz="4" w:space="0" w:color="auto"/>
            </w:tcBorders>
          </w:tcPr>
          <w:p w14:paraId="5527A3A1" w14:textId="77777777" w:rsidR="00E44580" w:rsidRDefault="00E71881">
            <w:r>
              <w:t>Accuracy (%)</w:t>
            </w:r>
          </w:p>
        </w:tc>
      </w:tr>
      <w:tr w:rsidR="00E44580" w14:paraId="0E15D4E3" w14:textId="77777777">
        <w:trPr>
          <w:jc w:val="center"/>
        </w:trPr>
        <w:tc>
          <w:tcPr>
            <w:tcW w:w="851" w:type="dxa"/>
            <w:tcBorders>
              <w:top w:val="single" w:sz="4" w:space="0" w:color="auto"/>
            </w:tcBorders>
          </w:tcPr>
          <w:p w14:paraId="3416D2CA" w14:textId="77777777" w:rsidR="00E44580" w:rsidRDefault="00E71881">
            <w:r>
              <w:t>90.92</w:t>
            </w:r>
            <w:r>
              <w:rPr>
                <w:vertAlign w:val="superscript"/>
              </w:rPr>
              <w:t>o</w:t>
            </w:r>
          </w:p>
        </w:tc>
        <w:tc>
          <w:tcPr>
            <w:tcW w:w="1417" w:type="dxa"/>
            <w:tcBorders>
              <w:top w:val="single" w:sz="4" w:space="0" w:color="auto"/>
            </w:tcBorders>
          </w:tcPr>
          <w:p w14:paraId="6AA152BE" w14:textId="77777777" w:rsidR="00E44580" w:rsidRDefault="00E71881">
            <w:r>
              <w:t>90.02</w:t>
            </w:r>
            <w:r>
              <w:rPr>
                <w:vertAlign w:val="superscript"/>
              </w:rPr>
              <w:t>o</w:t>
            </w:r>
          </w:p>
        </w:tc>
        <w:tc>
          <w:tcPr>
            <w:tcW w:w="992" w:type="dxa"/>
            <w:tcBorders>
              <w:top w:val="single" w:sz="4" w:space="0" w:color="auto"/>
            </w:tcBorders>
          </w:tcPr>
          <w:p w14:paraId="49F0282D" w14:textId="77777777" w:rsidR="00E44580" w:rsidRDefault="00E71881">
            <w:r>
              <w:t>+0.92</w:t>
            </w:r>
            <w:r>
              <w:rPr>
                <w:vertAlign w:val="superscript"/>
              </w:rPr>
              <w:t>o</w:t>
            </w:r>
          </w:p>
        </w:tc>
        <w:tc>
          <w:tcPr>
            <w:tcW w:w="1134" w:type="dxa"/>
            <w:tcBorders>
              <w:top w:val="single" w:sz="4" w:space="0" w:color="auto"/>
            </w:tcBorders>
          </w:tcPr>
          <w:p w14:paraId="1D42286E" w14:textId="77777777" w:rsidR="00E44580" w:rsidRDefault="00E71881">
            <w:r>
              <w:t>84.61</w:t>
            </w:r>
          </w:p>
        </w:tc>
      </w:tr>
      <w:tr w:rsidR="00E44580" w14:paraId="79D691B4" w14:textId="77777777">
        <w:trPr>
          <w:jc w:val="center"/>
        </w:trPr>
        <w:tc>
          <w:tcPr>
            <w:tcW w:w="851" w:type="dxa"/>
          </w:tcPr>
          <w:p w14:paraId="7694C288" w14:textId="77777777" w:rsidR="00E44580" w:rsidRDefault="00E71881">
            <w:r>
              <w:t>90</w:t>
            </w:r>
            <w:r>
              <w:rPr>
                <w:vertAlign w:val="superscript"/>
              </w:rPr>
              <w:t>o</w:t>
            </w:r>
          </w:p>
        </w:tc>
        <w:tc>
          <w:tcPr>
            <w:tcW w:w="1417" w:type="dxa"/>
          </w:tcPr>
          <w:p w14:paraId="43F7D2D8" w14:textId="77777777" w:rsidR="00E44580" w:rsidRDefault="00E71881">
            <w:r>
              <w:t>89.45</w:t>
            </w:r>
            <w:r>
              <w:rPr>
                <w:vertAlign w:val="superscript"/>
              </w:rPr>
              <w:t>o</w:t>
            </w:r>
          </w:p>
        </w:tc>
        <w:tc>
          <w:tcPr>
            <w:tcW w:w="992" w:type="dxa"/>
          </w:tcPr>
          <w:p w14:paraId="156070A1" w14:textId="77777777" w:rsidR="00E44580" w:rsidRDefault="00E71881">
            <w:r>
              <w:t>+0.55</w:t>
            </w:r>
            <w:r>
              <w:rPr>
                <w:vertAlign w:val="superscript"/>
              </w:rPr>
              <w:t>o</w:t>
            </w:r>
          </w:p>
        </w:tc>
        <w:tc>
          <w:tcPr>
            <w:tcW w:w="1134" w:type="dxa"/>
          </w:tcPr>
          <w:p w14:paraId="2FCD80E5" w14:textId="77777777" w:rsidR="00E44580" w:rsidRDefault="00E71881">
            <w:r>
              <w:t>88.46</w:t>
            </w:r>
          </w:p>
        </w:tc>
      </w:tr>
      <w:tr w:rsidR="00E44580" w14:paraId="7F1DD508" w14:textId="77777777">
        <w:trPr>
          <w:jc w:val="center"/>
        </w:trPr>
        <w:tc>
          <w:tcPr>
            <w:tcW w:w="851" w:type="dxa"/>
          </w:tcPr>
          <w:p w14:paraId="37A08F4B" w14:textId="77777777" w:rsidR="00E44580" w:rsidRDefault="00E71881">
            <w:r>
              <w:t>89</w:t>
            </w:r>
            <w:r>
              <w:rPr>
                <w:vertAlign w:val="superscript"/>
              </w:rPr>
              <w:t>o</w:t>
            </w:r>
          </w:p>
        </w:tc>
        <w:tc>
          <w:tcPr>
            <w:tcW w:w="1417" w:type="dxa"/>
          </w:tcPr>
          <w:p w14:paraId="25A5EF1D" w14:textId="77777777" w:rsidR="00E44580" w:rsidRDefault="00E71881">
            <w:r>
              <w:t>88.37</w:t>
            </w:r>
            <w:r>
              <w:rPr>
                <w:vertAlign w:val="superscript"/>
              </w:rPr>
              <w:t>o</w:t>
            </w:r>
          </w:p>
        </w:tc>
        <w:tc>
          <w:tcPr>
            <w:tcW w:w="992" w:type="dxa"/>
          </w:tcPr>
          <w:p w14:paraId="69D2EE38" w14:textId="77777777" w:rsidR="00E44580" w:rsidRDefault="00E71881">
            <w:r>
              <w:t>+0.63</w:t>
            </w:r>
            <w:r>
              <w:rPr>
                <w:vertAlign w:val="superscript"/>
              </w:rPr>
              <w:t>o</w:t>
            </w:r>
          </w:p>
        </w:tc>
        <w:tc>
          <w:tcPr>
            <w:tcW w:w="1134" w:type="dxa"/>
          </w:tcPr>
          <w:p w14:paraId="5C09CD82" w14:textId="77777777" w:rsidR="00E44580" w:rsidRDefault="00E71881">
            <w:r>
              <w:t>86.15</w:t>
            </w:r>
          </w:p>
        </w:tc>
      </w:tr>
      <w:tr w:rsidR="00E44580" w14:paraId="2048D552" w14:textId="77777777">
        <w:trPr>
          <w:jc w:val="center"/>
        </w:trPr>
        <w:tc>
          <w:tcPr>
            <w:tcW w:w="851" w:type="dxa"/>
            <w:tcBorders>
              <w:bottom w:val="single" w:sz="4" w:space="0" w:color="auto"/>
            </w:tcBorders>
          </w:tcPr>
          <w:p w14:paraId="368287D2" w14:textId="77777777" w:rsidR="00E44580" w:rsidRDefault="00E71881">
            <w:r>
              <w:t>88.5</w:t>
            </w:r>
            <w:r>
              <w:rPr>
                <w:vertAlign w:val="superscript"/>
              </w:rPr>
              <w:t>o</w:t>
            </w:r>
          </w:p>
        </w:tc>
        <w:tc>
          <w:tcPr>
            <w:tcW w:w="1417" w:type="dxa"/>
            <w:tcBorders>
              <w:bottom w:val="single" w:sz="4" w:space="0" w:color="auto"/>
            </w:tcBorders>
          </w:tcPr>
          <w:p w14:paraId="48A15D21" w14:textId="77777777" w:rsidR="00E44580" w:rsidRDefault="00E71881">
            <w:r>
              <w:t>89.12</w:t>
            </w:r>
            <w:r>
              <w:rPr>
                <w:vertAlign w:val="superscript"/>
              </w:rPr>
              <w:t>o</w:t>
            </w:r>
          </w:p>
        </w:tc>
        <w:tc>
          <w:tcPr>
            <w:tcW w:w="992" w:type="dxa"/>
            <w:tcBorders>
              <w:bottom w:val="single" w:sz="4" w:space="0" w:color="auto"/>
            </w:tcBorders>
          </w:tcPr>
          <w:p w14:paraId="717E8CA8" w14:textId="77777777" w:rsidR="00E44580" w:rsidRDefault="00E71881">
            <w:r>
              <w:t>+0.62</w:t>
            </w:r>
            <w:r>
              <w:rPr>
                <w:vertAlign w:val="superscript"/>
              </w:rPr>
              <w:t>o</w:t>
            </w:r>
          </w:p>
        </w:tc>
        <w:tc>
          <w:tcPr>
            <w:tcW w:w="1134" w:type="dxa"/>
            <w:tcBorders>
              <w:bottom w:val="single" w:sz="4" w:space="0" w:color="auto"/>
            </w:tcBorders>
          </w:tcPr>
          <w:p w14:paraId="1EE708C9" w14:textId="77777777" w:rsidR="00E44580" w:rsidRDefault="00E71881">
            <w:r>
              <w:t>92.31</w:t>
            </w:r>
          </w:p>
        </w:tc>
      </w:tr>
    </w:tbl>
    <w:p w14:paraId="252C7D83" w14:textId="77777777" w:rsidR="00E44580" w:rsidRDefault="00E71881">
      <w:pPr>
        <w:rPr>
          <w:sz w:val="20"/>
          <w:szCs w:val="28"/>
        </w:rPr>
      </w:pPr>
      <w:r>
        <w:rPr>
          <w:sz w:val="20"/>
          <w:szCs w:val="28"/>
        </w:rPr>
        <w:t xml:space="preserve">The accuracy comparison carried out between before conducting the CAE simulation and after the simulation obtained an increase in accuracy from 53.85% to 92.31%. The resulting improvement in accuracy can be seen in the graph image </w:t>
      </w:r>
      <w:r>
        <w:rPr>
          <w:sz w:val="20"/>
          <w:szCs w:val="28"/>
          <w:lang w:val="id-ID"/>
        </w:rPr>
        <w:t xml:space="preserve">in </w:t>
      </w:r>
      <w:proofErr w:type="spellStart"/>
      <w:r>
        <w:rPr>
          <w:sz w:val="20"/>
          <w:szCs w:val="28"/>
          <w:lang w:val="id-ID"/>
        </w:rPr>
        <w:t>figure</w:t>
      </w:r>
      <w:proofErr w:type="spellEnd"/>
      <w:r>
        <w:rPr>
          <w:sz w:val="20"/>
          <w:szCs w:val="28"/>
          <w:lang w:val="id-ID"/>
        </w:rPr>
        <w:t xml:space="preserve"> 5</w:t>
      </w:r>
      <w:r>
        <w:rPr>
          <w:sz w:val="20"/>
          <w:szCs w:val="28"/>
        </w:rPr>
        <w:t xml:space="preserve">. </w:t>
      </w:r>
    </w:p>
    <w:p w14:paraId="36D7D272" w14:textId="77777777" w:rsidR="00E44580" w:rsidRDefault="00E71881">
      <w:pPr>
        <w:rPr>
          <w:lang w:val="id-ID"/>
        </w:rPr>
      </w:pPr>
      <w:r>
        <w:rPr>
          <w:noProof/>
          <w:lang w:val="id-ID"/>
        </w:rPr>
        <w:lastRenderedPageBreak/>
        <w:drawing>
          <wp:inline distT="0" distB="0" distL="0" distR="0" wp14:anchorId="2922BDCC" wp14:editId="34D8098F">
            <wp:extent cx="3310255" cy="1743710"/>
            <wp:effectExtent l="0" t="0" r="4445" b="8890"/>
            <wp:docPr id="4733397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339717"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3310255" cy="1743710"/>
                    </a:xfrm>
                    <a:prstGeom prst="rect">
                      <a:avLst/>
                    </a:prstGeom>
                    <a:noFill/>
                  </pic:spPr>
                </pic:pic>
              </a:graphicData>
            </a:graphic>
          </wp:inline>
        </w:drawing>
      </w:r>
    </w:p>
    <w:p w14:paraId="10B140AD" w14:textId="77777777" w:rsidR="00E44580" w:rsidRDefault="00E71881">
      <w:pPr>
        <w:pStyle w:val="E-JournalBody"/>
        <w:spacing w:after="240"/>
        <w:ind w:firstLine="0"/>
        <w:jc w:val="center"/>
        <w:rPr>
          <w:sz w:val="20"/>
          <w:szCs w:val="22"/>
        </w:rPr>
      </w:pPr>
      <w:proofErr w:type="spellStart"/>
      <w:r>
        <w:rPr>
          <w:b/>
          <w:bCs/>
          <w:sz w:val="20"/>
          <w:szCs w:val="22"/>
        </w:rPr>
        <w:t>Fig</w:t>
      </w:r>
      <w:proofErr w:type="spellEnd"/>
      <w:r>
        <w:rPr>
          <w:b/>
          <w:bCs/>
          <w:sz w:val="20"/>
          <w:szCs w:val="22"/>
        </w:rPr>
        <w:t>. 5.</w:t>
      </w:r>
      <w:r>
        <w:rPr>
          <w:sz w:val="20"/>
          <w:szCs w:val="22"/>
        </w:rPr>
        <w:t xml:space="preserve"> </w:t>
      </w:r>
      <w:proofErr w:type="spellStart"/>
      <w:r>
        <w:rPr>
          <w:sz w:val="20"/>
          <w:szCs w:val="22"/>
        </w:rPr>
        <w:t>Accuracy</w:t>
      </w:r>
      <w:proofErr w:type="spellEnd"/>
      <w:r>
        <w:rPr>
          <w:sz w:val="20"/>
          <w:szCs w:val="22"/>
        </w:rPr>
        <w:t xml:space="preserve"> </w:t>
      </w:r>
      <w:proofErr w:type="spellStart"/>
      <w:r>
        <w:rPr>
          <w:sz w:val="20"/>
          <w:szCs w:val="22"/>
        </w:rPr>
        <w:t>Improvement</w:t>
      </w:r>
      <w:proofErr w:type="spellEnd"/>
      <w:r>
        <w:rPr>
          <w:sz w:val="20"/>
          <w:szCs w:val="22"/>
        </w:rPr>
        <w:t xml:space="preserve"> </w:t>
      </w:r>
      <w:proofErr w:type="spellStart"/>
      <w:r>
        <w:rPr>
          <w:sz w:val="20"/>
          <w:szCs w:val="22"/>
        </w:rPr>
        <w:t>Graph</w:t>
      </w:r>
      <w:proofErr w:type="spellEnd"/>
    </w:p>
    <w:p w14:paraId="7B0AD77B" w14:textId="77777777" w:rsidR="00E44580" w:rsidRDefault="00E71881">
      <w:pPr>
        <w:rPr>
          <w:sz w:val="20"/>
          <w:szCs w:val="28"/>
        </w:rPr>
      </w:pPr>
      <w:r>
        <w:rPr>
          <w:sz w:val="20"/>
          <w:szCs w:val="28"/>
        </w:rPr>
        <w:t xml:space="preserve">From the data above, it can be observed that the angle of 88.5° produces the highest accuracy which is 92.31%. This happens due to a correction to the elasticity of the material that causes </w:t>
      </w:r>
      <w:proofErr w:type="spellStart"/>
      <w:r>
        <w:rPr>
          <w:sz w:val="20"/>
          <w:szCs w:val="28"/>
        </w:rPr>
        <w:t>springback</w:t>
      </w:r>
      <w:proofErr w:type="spellEnd"/>
      <w:r>
        <w:rPr>
          <w:sz w:val="20"/>
          <w:szCs w:val="28"/>
        </w:rPr>
        <w:t xml:space="preserve">. Sharper (smaller) corners tend to suppress the elastic effect so that the end angle of the part is close to the design specifications. This supports the theory that the selection of the right pre-bending angle can compensate for </w:t>
      </w:r>
      <w:proofErr w:type="spellStart"/>
      <w:r>
        <w:rPr>
          <w:sz w:val="20"/>
          <w:szCs w:val="28"/>
        </w:rPr>
        <w:t>springback</w:t>
      </w:r>
      <w:proofErr w:type="spellEnd"/>
      <w:r>
        <w:rPr>
          <w:sz w:val="20"/>
          <w:szCs w:val="28"/>
        </w:rPr>
        <w:t xml:space="preserve"> as described by Altan (1998) and Yang et al. (2012).</w:t>
      </w:r>
    </w:p>
    <w:p w14:paraId="69F97115" w14:textId="77777777" w:rsidR="00E44580" w:rsidRDefault="00E44580">
      <w:pPr>
        <w:rPr>
          <w:lang w:val="id-ID"/>
        </w:rPr>
      </w:pPr>
    </w:p>
    <w:p w14:paraId="217425F2" w14:textId="77777777" w:rsidR="00E44580" w:rsidRDefault="00E71881">
      <w:pPr>
        <w:pStyle w:val="Heading2"/>
        <w:numPr>
          <w:ilvl w:val="1"/>
          <w:numId w:val="3"/>
        </w:numPr>
      </w:pPr>
      <w:proofErr w:type="spellStart"/>
      <w:r>
        <w:t>Verify</w:t>
      </w:r>
      <w:proofErr w:type="spellEnd"/>
      <w:r>
        <w:t xml:space="preserve"> </w:t>
      </w:r>
      <w:proofErr w:type="spellStart"/>
      <w:r>
        <w:t>Simulation</w:t>
      </w:r>
      <w:proofErr w:type="spellEnd"/>
      <w:r>
        <w:t xml:space="preserve"> </w:t>
      </w:r>
      <w:proofErr w:type="spellStart"/>
      <w:r>
        <w:t>Results</w:t>
      </w:r>
      <w:proofErr w:type="spellEnd"/>
      <w:r>
        <w:t xml:space="preserve"> </w:t>
      </w:r>
      <w:proofErr w:type="spellStart"/>
      <w:r>
        <w:t>with</w:t>
      </w:r>
      <w:proofErr w:type="spellEnd"/>
      <w:r>
        <w:t xml:space="preserve"> </w:t>
      </w:r>
      <w:proofErr w:type="spellStart"/>
      <w:r>
        <w:t>Sample</w:t>
      </w:r>
      <w:proofErr w:type="spellEnd"/>
      <w:r>
        <w:t xml:space="preserve"> </w:t>
      </w:r>
      <w:proofErr w:type="spellStart"/>
      <w:r>
        <w:t>Parts</w:t>
      </w:r>
      <w:proofErr w:type="spellEnd"/>
    </w:p>
    <w:p w14:paraId="7FE07D4B" w14:textId="77777777" w:rsidR="00E44580" w:rsidRDefault="00E71881">
      <w:pPr>
        <w:rPr>
          <w:bCs/>
          <w:sz w:val="20"/>
          <w:szCs w:val="28"/>
        </w:rPr>
      </w:pPr>
      <w:r>
        <w:rPr>
          <w:bCs/>
          <w:sz w:val="20"/>
          <w:szCs w:val="28"/>
        </w:rPr>
        <w:t xml:space="preserve">To verify the results, a comparison was made between the simulation and the 3D sample part. The analysis of dimensional differences was carried out at three critical points: the trimming line, the surface line, and the hole position presented in figure </w:t>
      </w:r>
      <w:r>
        <w:rPr>
          <w:bCs/>
          <w:sz w:val="20"/>
          <w:szCs w:val="28"/>
          <w:lang w:val="id-ID"/>
        </w:rPr>
        <w:t>6</w:t>
      </w:r>
      <w:r>
        <w:rPr>
          <w:bCs/>
          <w:sz w:val="20"/>
          <w:szCs w:val="28"/>
        </w:rPr>
        <w:t xml:space="preserve"> and figure </w:t>
      </w:r>
      <w:r>
        <w:rPr>
          <w:bCs/>
          <w:sz w:val="20"/>
          <w:szCs w:val="28"/>
          <w:lang w:val="id-ID"/>
        </w:rPr>
        <w:t>7</w:t>
      </w:r>
      <w:r>
        <w:rPr>
          <w:bCs/>
          <w:sz w:val="20"/>
          <w:szCs w:val="28"/>
        </w:rPr>
        <w:t>.</w:t>
      </w:r>
    </w:p>
    <w:p w14:paraId="623391EB" w14:textId="77777777" w:rsidR="00E44580" w:rsidRDefault="00E71881">
      <w:pPr>
        <w:rPr>
          <w:bCs/>
        </w:rPr>
      </w:pPr>
      <w:r>
        <w:rPr>
          <w:noProof/>
        </w:rPr>
        <w:drawing>
          <wp:inline distT="0" distB="0" distL="0" distR="0" wp14:anchorId="5EF3939B" wp14:editId="41728749">
            <wp:extent cx="2967990" cy="1965960"/>
            <wp:effectExtent l="0" t="0" r="3810" b="0"/>
            <wp:docPr id="13845189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518923" name="Picture 1"/>
                    <pic:cNvPicPr>
                      <a:picLocks noChangeAspect="1"/>
                    </pic:cNvPicPr>
                  </pic:nvPicPr>
                  <pic:blipFill>
                    <a:blip r:embed="rId19"/>
                    <a:stretch>
                      <a:fillRect/>
                    </a:stretch>
                  </pic:blipFill>
                  <pic:spPr>
                    <a:xfrm>
                      <a:off x="0" y="0"/>
                      <a:ext cx="2967990" cy="1966093"/>
                    </a:xfrm>
                    <a:prstGeom prst="rect">
                      <a:avLst/>
                    </a:prstGeom>
                  </pic:spPr>
                </pic:pic>
              </a:graphicData>
            </a:graphic>
          </wp:inline>
        </w:drawing>
      </w:r>
    </w:p>
    <w:p w14:paraId="6F71BEF5" w14:textId="77777777" w:rsidR="00E44580" w:rsidRDefault="00E71881">
      <w:pPr>
        <w:rPr>
          <w:bCs/>
          <w:sz w:val="20"/>
          <w:szCs w:val="28"/>
        </w:rPr>
      </w:pPr>
      <w:r>
        <w:rPr>
          <w:b/>
          <w:sz w:val="20"/>
          <w:szCs w:val="28"/>
        </w:rPr>
        <w:t xml:space="preserve">Fig. </w:t>
      </w:r>
      <w:r>
        <w:rPr>
          <w:b/>
          <w:sz w:val="20"/>
          <w:szCs w:val="28"/>
          <w:lang w:val="id-ID"/>
        </w:rPr>
        <w:t>6</w:t>
      </w:r>
      <w:r>
        <w:rPr>
          <w:b/>
          <w:sz w:val="20"/>
          <w:szCs w:val="28"/>
        </w:rPr>
        <w:t>.</w:t>
      </w:r>
      <w:r>
        <w:rPr>
          <w:bCs/>
          <w:sz w:val="20"/>
          <w:szCs w:val="28"/>
        </w:rPr>
        <w:t xml:space="preserve"> Measurement of the Distance Comparison of the Farthest</w:t>
      </w:r>
    </w:p>
    <w:p w14:paraId="79B7ADFE" w14:textId="77777777" w:rsidR="00E44580" w:rsidRDefault="00E71881">
      <w:pPr>
        <w:jc w:val="center"/>
        <w:rPr>
          <w:bCs/>
        </w:rPr>
      </w:pPr>
      <w:r>
        <w:rPr>
          <w:noProof/>
        </w:rPr>
        <w:drawing>
          <wp:inline distT="0" distB="0" distL="0" distR="0" wp14:anchorId="61BCDD86" wp14:editId="258B4E00">
            <wp:extent cx="2541905" cy="1524000"/>
            <wp:effectExtent l="0" t="0" r="0" b="0"/>
            <wp:docPr id="51021460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214609"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2545640" cy="1525976"/>
                    </a:xfrm>
                    <a:prstGeom prst="rect">
                      <a:avLst/>
                    </a:prstGeom>
                    <a:noFill/>
                    <a:ln>
                      <a:noFill/>
                    </a:ln>
                  </pic:spPr>
                </pic:pic>
              </a:graphicData>
            </a:graphic>
          </wp:inline>
        </w:drawing>
      </w:r>
    </w:p>
    <w:p w14:paraId="169AE62F" w14:textId="77777777" w:rsidR="00E44580" w:rsidRDefault="00E71881">
      <w:pPr>
        <w:jc w:val="center"/>
        <w:rPr>
          <w:bCs/>
          <w:sz w:val="20"/>
          <w:szCs w:val="28"/>
        </w:rPr>
      </w:pPr>
      <w:r>
        <w:rPr>
          <w:b/>
          <w:sz w:val="20"/>
          <w:szCs w:val="28"/>
        </w:rPr>
        <w:t xml:space="preserve">Fig. </w:t>
      </w:r>
      <w:r>
        <w:rPr>
          <w:b/>
          <w:sz w:val="20"/>
          <w:szCs w:val="28"/>
          <w:lang w:val="id-ID"/>
        </w:rPr>
        <w:t>7</w:t>
      </w:r>
      <w:r>
        <w:rPr>
          <w:b/>
          <w:sz w:val="20"/>
          <w:szCs w:val="28"/>
        </w:rPr>
        <w:t>.</w:t>
      </w:r>
      <w:r>
        <w:rPr>
          <w:bCs/>
          <w:sz w:val="20"/>
          <w:szCs w:val="28"/>
        </w:rPr>
        <w:t xml:space="preserve"> Accuracy Comparison</w:t>
      </w:r>
    </w:p>
    <w:p w14:paraId="4F7D44C2" w14:textId="77777777" w:rsidR="00E44580" w:rsidRDefault="00E44580">
      <w:pPr>
        <w:rPr>
          <w:b/>
        </w:rPr>
      </w:pPr>
    </w:p>
    <w:p w14:paraId="13C39C59" w14:textId="77777777" w:rsidR="00E44580" w:rsidRDefault="00E71881">
      <w:pPr>
        <w:rPr>
          <w:bCs/>
          <w:sz w:val="20"/>
          <w:szCs w:val="20"/>
        </w:rPr>
      </w:pPr>
      <w:r>
        <w:rPr>
          <w:bCs/>
          <w:sz w:val="20"/>
          <w:szCs w:val="28"/>
        </w:rPr>
        <w:t xml:space="preserve">Accuracy points that can be checked through software are unclamp zero surface, surface </w:t>
      </w:r>
      <w:proofErr w:type="spellStart"/>
      <w:r>
        <w:rPr>
          <w:bCs/>
          <w:sz w:val="20"/>
          <w:szCs w:val="28"/>
        </w:rPr>
        <w:t>clereance</w:t>
      </w:r>
      <w:proofErr w:type="spellEnd"/>
      <w:r>
        <w:rPr>
          <w:bCs/>
          <w:sz w:val="20"/>
          <w:szCs w:val="28"/>
        </w:rPr>
        <w:t xml:space="preserve">, trimming line. Point checking Hole position cannot be done software because there is a special tool used to perform the </w:t>
      </w:r>
      <w:proofErr w:type="spellStart"/>
      <w:r>
        <w:rPr>
          <w:bCs/>
          <w:sz w:val="20"/>
          <w:szCs w:val="28"/>
        </w:rPr>
        <w:t>checkThe</w:t>
      </w:r>
      <w:proofErr w:type="spellEnd"/>
      <w:r>
        <w:rPr>
          <w:bCs/>
          <w:sz w:val="20"/>
          <w:szCs w:val="28"/>
        </w:rPr>
        <w:t xml:space="preserve"> results of the measurement of the farthest point comparison with the accuracy comparison show that the configuration with an angle of 88.5° is closest to the 3D sample profile, with minimal deviation to all reference lines. This shows the validity of the CAE simulation method in designing precise dies. This supports the previous literature that CAE is an efficient and prescriptive </w:t>
      </w:r>
      <w:r>
        <w:rPr>
          <w:bCs/>
          <w:sz w:val="20"/>
          <w:szCs w:val="20"/>
        </w:rPr>
        <w:t>method in the development of metal-forming based products (</w:t>
      </w:r>
      <w:proofErr w:type="spellStart"/>
      <w:r>
        <w:rPr>
          <w:bCs/>
          <w:sz w:val="20"/>
          <w:szCs w:val="20"/>
        </w:rPr>
        <w:t>Lakkannavar</w:t>
      </w:r>
      <w:proofErr w:type="spellEnd"/>
      <w:r>
        <w:rPr>
          <w:bCs/>
          <w:sz w:val="20"/>
          <w:szCs w:val="20"/>
        </w:rPr>
        <w:t xml:space="preserve"> &amp; </w:t>
      </w:r>
      <w:proofErr w:type="spellStart"/>
      <w:r>
        <w:rPr>
          <w:bCs/>
          <w:sz w:val="20"/>
          <w:szCs w:val="20"/>
        </w:rPr>
        <w:t>Kattimani</w:t>
      </w:r>
      <w:proofErr w:type="spellEnd"/>
      <w:r>
        <w:rPr>
          <w:bCs/>
          <w:sz w:val="20"/>
          <w:szCs w:val="20"/>
        </w:rPr>
        <w:t>, 2014).</w:t>
      </w:r>
    </w:p>
    <w:p w14:paraId="5251BBF3" w14:textId="77777777" w:rsidR="00E44580" w:rsidRDefault="00E44580">
      <w:pPr>
        <w:rPr>
          <w:bCs/>
          <w:sz w:val="20"/>
          <w:szCs w:val="20"/>
        </w:rPr>
      </w:pPr>
    </w:p>
    <w:p w14:paraId="24A44D45" w14:textId="77777777" w:rsidR="00E44580" w:rsidRDefault="00E71881">
      <w:pPr>
        <w:rPr>
          <w:bCs/>
          <w:sz w:val="20"/>
          <w:szCs w:val="20"/>
        </w:rPr>
      </w:pPr>
      <w:r>
        <w:rPr>
          <w:bCs/>
          <w:sz w:val="20"/>
          <w:szCs w:val="20"/>
        </w:rPr>
        <w:t xml:space="preserve">The increase in accuracy from 53.84% to 92.31% is a validation that the selection of bending angles in CAE simulations is crucial in overcoming </w:t>
      </w:r>
      <w:proofErr w:type="spellStart"/>
      <w:r>
        <w:rPr>
          <w:bCs/>
          <w:sz w:val="20"/>
          <w:szCs w:val="20"/>
        </w:rPr>
        <w:t>springback</w:t>
      </w:r>
      <w:proofErr w:type="spellEnd"/>
      <w:r>
        <w:rPr>
          <w:bCs/>
          <w:sz w:val="20"/>
          <w:szCs w:val="20"/>
        </w:rPr>
        <w:t xml:space="preserve"> problems. The advantage of this method is that it is able to reduce trial and error in the manufacturing process, while speeding up design iterations without sacrificing output quality. The novelty of this research lies in the practical approach based on CAE in part scenarios that have been in use for 27 years and have no previous design documentation.</w:t>
      </w:r>
    </w:p>
    <w:p w14:paraId="4E350A6F" w14:textId="77777777" w:rsidR="00E44580" w:rsidRDefault="00E44580">
      <w:pPr>
        <w:rPr>
          <w:bCs/>
          <w:sz w:val="20"/>
          <w:szCs w:val="20"/>
        </w:rPr>
      </w:pPr>
    </w:p>
    <w:p w14:paraId="63DE3145" w14:textId="77777777" w:rsidR="00E44580" w:rsidRDefault="00E71881">
      <w:pPr>
        <w:rPr>
          <w:bCs/>
          <w:sz w:val="20"/>
          <w:szCs w:val="20"/>
        </w:rPr>
      </w:pPr>
      <w:r>
        <w:rPr>
          <w:bCs/>
          <w:sz w:val="20"/>
          <w:szCs w:val="20"/>
        </w:rPr>
        <w:t xml:space="preserve">Based on this study, the results and discussion present concrete solutions to the challenges of the automotive manufacturing industry related to the accuracy degradation of old parts and the </w:t>
      </w:r>
      <w:proofErr w:type="spellStart"/>
      <w:r>
        <w:rPr>
          <w:bCs/>
          <w:sz w:val="20"/>
          <w:szCs w:val="20"/>
        </w:rPr>
        <w:t>springback</w:t>
      </w:r>
      <w:proofErr w:type="spellEnd"/>
      <w:r>
        <w:rPr>
          <w:bCs/>
          <w:sz w:val="20"/>
          <w:szCs w:val="20"/>
        </w:rPr>
        <w:t xml:space="preserve"> phenomenon. These results also demonstrate the effectiveness of CAE-based digital manufacturing approaches for old tooling redesigns. The practical implication is that companies can reduce production costs by reducing the remanufacturing of dies through trial-error, as well as extending the life of tools through precision design. The implications of this entire study include: reduction of potential </w:t>
      </w:r>
      <w:proofErr w:type="spellStart"/>
      <w:r>
        <w:rPr>
          <w:bCs/>
          <w:sz w:val="20"/>
          <w:szCs w:val="20"/>
        </w:rPr>
        <w:t>springback</w:t>
      </w:r>
      <w:proofErr w:type="spellEnd"/>
      <w:r>
        <w:rPr>
          <w:bCs/>
          <w:sz w:val="20"/>
          <w:szCs w:val="20"/>
        </w:rPr>
        <w:t xml:space="preserve"> defects in the bending process, acceleration of the iteration of the CAE-assisted dies design, and increased tooling life and reduction of replacement frequency. A major novelty in this study is a practical approach that combines CAE analysis and direct validation of 3D sample parts used for more than 25 years, without the support of initial design documentation.</w:t>
      </w:r>
    </w:p>
    <w:p w14:paraId="5E1501F3" w14:textId="77777777" w:rsidR="00E44580" w:rsidRDefault="00E44580">
      <w:pPr>
        <w:jc w:val="center"/>
        <w:rPr>
          <w:b/>
        </w:rPr>
      </w:pPr>
    </w:p>
    <w:p w14:paraId="66F8B7F8" w14:textId="77777777" w:rsidR="00E44580" w:rsidRDefault="00E71881">
      <w:pPr>
        <w:pStyle w:val="Heading2"/>
        <w:numPr>
          <w:ilvl w:val="1"/>
          <w:numId w:val="3"/>
        </w:numPr>
        <w:rPr>
          <w:lang w:val="en-US"/>
        </w:rPr>
      </w:pPr>
      <w:r>
        <w:rPr>
          <w:lang w:val="en-US"/>
        </w:rPr>
        <w:t>Industry Implications and Strategic Advantages</w:t>
      </w:r>
    </w:p>
    <w:p w14:paraId="6EB68620" w14:textId="77777777" w:rsidR="00E44580" w:rsidRDefault="00E71881">
      <w:pPr>
        <w:rPr>
          <w:sz w:val="20"/>
          <w:szCs w:val="28"/>
        </w:rPr>
      </w:pPr>
      <w:r>
        <w:rPr>
          <w:sz w:val="20"/>
          <w:szCs w:val="28"/>
        </w:rPr>
        <w:t>The application of CAE in this anniversary redesign not only provides a high-precision solution, but also reduces the need for manual design iterations that are time-consuming and cost-consuming. By increasing the accuracy of the part by up to 92.31%, the production process becomes more efficient and the risk of rework is significantly reduced. This approach also shows the potential to be replicated in similar scenarios—i.e., revitalization of old, undocumented tooling.</w:t>
      </w:r>
    </w:p>
    <w:p w14:paraId="6B445C14" w14:textId="77777777" w:rsidR="00E44580" w:rsidRDefault="00E44580">
      <w:pPr>
        <w:rPr>
          <w:sz w:val="20"/>
          <w:szCs w:val="28"/>
        </w:rPr>
      </w:pPr>
    </w:p>
    <w:p w14:paraId="388D5F2E" w14:textId="77777777" w:rsidR="00E44580" w:rsidRDefault="00E71881">
      <w:pPr>
        <w:rPr>
          <w:sz w:val="20"/>
          <w:szCs w:val="28"/>
        </w:rPr>
      </w:pPr>
      <w:r>
        <w:rPr>
          <w:sz w:val="20"/>
          <w:szCs w:val="28"/>
        </w:rPr>
        <w:t xml:space="preserve">These findings reinforce previous literature (Altan, 1998; </w:t>
      </w:r>
      <w:proofErr w:type="spellStart"/>
      <w:r>
        <w:rPr>
          <w:sz w:val="20"/>
          <w:szCs w:val="28"/>
        </w:rPr>
        <w:t>Lakkannavar</w:t>
      </w:r>
      <w:proofErr w:type="spellEnd"/>
      <w:r>
        <w:rPr>
          <w:sz w:val="20"/>
          <w:szCs w:val="28"/>
        </w:rPr>
        <w:t xml:space="preserve"> &amp; </w:t>
      </w:r>
      <w:proofErr w:type="spellStart"/>
      <w:r>
        <w:rPr>
          <w:sz w:val="20"/>
          <w:szCs w:val="28"/>
        </w:rPr>
        <w:t>Kattimani</w:t>
      </w:r>
      <w:proofErr w:type="spellEnd"/>
      <w:r>
        <w:rPr>
          <w:sz w:val="20"/>
          <w:szCs w:val="28"/>
        </w:rPr>
        <w:t xml:space="preserve">, 2014) that </w:t>
      </w:r>
      <w:proofErr w:type="spellStart"/>
      <w:r>
        <w:rPr>
          <w:sz w:val="20"/>
          <w:szCs w:val="28"/>
        </w:rPr>
        <w:t>springback</w:t>
      </w:r>
      <w:proofErr w:type="spellEnd"/>
      <w:r>
        <w:rPr>
          <w:sz w:val="20"/>
          <w:szCs w:val="28"/>
        </w:rPr>
        <w:t xml:space="preserve"> control requires integration between numerical simulation and experimental validation. The study adds applicative context through real case studies and relevant metrological validation parameters in manufacturing practices.</w:t>
      </w:r>
    </w:p>
    <w:p w14:paraId="2289418D" w14:textId="77777777" w:rsidR="00E44580" w:rsidRDefault="00E71881">
      <w:pPr>
        <w:pStyle w:val="Heading1"/>
        <w:numPr>
          <w:ilvl w:val="0"/>
          <w:numId w:val="0"/>
        </w:numPr>
        <w:rPr>
          <w:lang w:val="en-US"/>
        </w:rPr>
      </w:pPr>
      <w:r>
        <w:rPr>
          <w:lang w:val="en-US"/>
        </w:rPr>
        <w:t xml:space="preserve">CONCLUSION </w:t>
      </w:r>
    </w:p>
    <w:p w14:paraId="06A48FE6" w14:textId="77777777" w:rsidR="00E44580" w:rsidRDefault="00E71881">
      <w:pPr>
        <w:rPr>
          <w:sz w:val="20"/>
          <w:szCs w:val="20"/>
        </w:rPr>
      </w:pPr>
      <w:r>
        <w:rPr>
          <w:sz w:val="20"/>
          <w:szCs w:val="20"/>
        </w:rPr>
        <w:t xml:space="preserve">This study aims to develop a numerical simulation-based dies bending redesign approach to overcome the </w:t>
      </w:r>
      <w:proofErr w:type="spellStart"/>
      <w:r>
        <w:rPr>
          <w:sz w:val="20"/>
          <w:szCs w:val="20"/>
        </w:rPr>
        <w:t>springback</w:t>
      </w:r>
      <w:proofErr w:type="spellEnd"/>
      <w:r>
        <w:rPr>
          <w:sz w:val="20"/>
          <w:szCs w:val="20"/>
        </w:rPr>
        <w:t xml:space="preserve"> problem that causes a decrease in geometric precision in automotive components of Bracket Rear Spring Front 2. Based on the results of the analysis, the Computer Aided Engineering (CAE) approach has proven to be effective in predicting deformation due to the reverse elasticity of materials and providing a precise, efficient, and replicable design solution. By testing four variations of bending angles (88.5°, 89°, 90°, and 90.92°), it was found that the 88.5° angle gave the most optimal result, namely geometric accuracy of 92.31%, a significant increase from the initial accuracy of 53.84%.</w:t>
      </w:r>
    </w:p>
    <w:p w14:paraId="72311D94" w14:textId="77777777" w:rsidR="00E44580" w:rsidRDefault="00E44580">
      <w:pPr>
        <w:rPr>
          <w:sz w:val="20"/>
          <w:szCs w:val="20"/>
        </w:rPr>
      </w:pPr>
    </w:p>
    <w:p w14:paraId="6148AB5A" w14:textId="77777777" w:rsidR="00E44580" w:rsidRDefault="00E71881">
      <w:pPr>
        <w:rPr>
          <w:sz w:val="20"/>
          <w:szCs w:val="20"/>
        </w:rPr>
      </w:pPr>
      <w:r>
        <w:rPr>
          <w:sz w:val="20"/>
          <w:szCs w:val="20"/>
        </w:rPr>
        <w:t>Quantitatively, the simulation results show an angular deviation to the design target of 90° within a range that is still acceptable to industry standards. Root Mean Square Error (RMSE) analysis of 0.67° and coefficient of accuracy variation of 3.12% indicate that the method used not only results in a high accuracy increase, but is also consistent across configurations. Validation using actual measurements of real parts through fixture checking and 3D metrology coordinates strengthens the reliability of the simulation results, especially in the trimming line and surface clearance areas. The high compatibility between the simulation data and the measurement results confirms that the CAE model can be used as a credible tooling prediction and design tool in the context of mass production of the automotive industry.</w:t>
      </w:r>
    </w:p>
    <w:p w14:paraId="3BE28DD0" w14:textId="77777777" w:rsidR="00E44580" w:rsidRDefault="00E44580">
      <w:pPr>
        <w:rPr>
          <w:sz w:val="20"/>
          <w:szCs w:val="20"/>
        </w:rPr>
      </w:pPr>
    </w:p>
    <w:p w14:paraId="7D673089" w14:textId="77777777" w:rsidR="00E44580" w:rsidRDefault="00E71881">
      <w:pPr>
        <w:rPr>
          <w:sz w:val="20"/>
          <w:szCs w:val="20"/>
        </w:rPr>
      </w:pPr>
      <w:r>
        <w:rPr>
          <w:sz w:val="20"/>
          <w:szCs w:val="20"/>
        </w:rPr>
        <w:t>The main contribution of this research lies in the development of a practical framework for revitalizing old tooling that has lost technical documentation. The CAE-based approach applied not only results in a redesign of the dies to specifications, but also minimizes the need for physical iterations, speeds up the design cycle, and reduces costs due to manufacturing errors. The novelty of this research lies in the systematic application of parametric simulations to determine the optimal pre-bending configuration of real industrial cases, which is rarely found in conventional literature. In addition, this approach can be adapted to various other metal formation cases that face similar problems.</w:t>
      </w:r>
    </w:p>
    <w:p w14:paraId="7ABDFF03" w14:textId="77777777" w:rsidR="00E44580" w:rsidRDefault="00E44580">
      <w:pPr>
        <w:rPr>
          <w:sz w:val="20"/>
          <w:szCs w:val="20"/>
        </w:rPr>
      </w:pPr>
    </w:p>
    <w:p w14:paraId="65ED110C" w14:textId="77777777" w:rsidR="00E44580" w:rsidRDefault="00E71881">
      <w:pPr>
        <w:rPr>
          <w:sz w:val="20"/>
          <w:szCs w:val="20"/>
        </w:rPr>
      </w:pPr>
      <w:r>
        <w:rPr>
          <w:sz w:val="20"/>
          <w:szCs w:val="20"/>
        </w:rPr>
        <w:t xml:space="preserve">As a follow-up, it is recommended that the design of the simulated anniversary be realized in the form of a physical prototype to be tested in the actual production environment. Long-term performance evaluations need to be performed to assess tooling stability and wear in a continuous production cycle. In addition, the development of a technical documentation management system such as Product Lifecycle Management (PLM) is highly recommended to prevent the loss of design information in long-lived tooling. Thus, this research not only makes a theoretical and methodological contribution, but also has strong </w:t>
      </w:r>
      <w:proofErr w:type="spellStart"/>
      <w:r>
        <w:rPr>
          <w:sz w:val="20"/>
          <w:szCs w:val="20"/>
        </w:rPr>
        <w:t>implementability</w:t>
      </w:r>
      <w:proofErr w:type="spellEnd"/>
      <w:r>
        <w:rPr>
          <w:sz w:val="20"/>
          <w:szCs w:val="20"/>
        </w:rPr>
        <w:t xml:space="preserve"> potential in the high-precision-based manufacturing industry.</w:t>
      </w:r>
    </w:p>
    <w:p w14:paraId="52B3D60B" w14:textId="77777777" w:rsidR="00E44580" w:rsidRDefault="00E71881">
      <w:pPr>
        <w:pStyle w:val="Acknowledgement"/>
        <w:rPr>
          <w:lang w:val="en-US"/>
        </w:rPr>
      </w:pPr>
      <w:r>
        <w:rPr>
          <w:lang w:val="en-US"/>
        </w:rPr>
        <w:t>REFERENCES</w:t>
      </w:r>
    </w:p>
    <w:p w14:paraId="58275849" w14:textId="77777777" w:rsidR="00E44580" w:rsidRDefault="00E71881">
      <w:pPr>
        <w:spacing w:before="120" w:line="240" w:lineRule="auto"/>
        <w:ind w:left="720" w:hanging="720"/>
        <w:rPr>
          <w:rFonts w:eastAsia="Times New Roman" w:cs="Times New Roman"/>
          <w:bCs/>
          <w:sz w:val="20"/>
          <w:szCs w:val="20"/>
        </w:rPr>
      </w:pPr>
      <w:r>
        <w:rPr>
          <w:rFonts w:eastAsia="Times New Roman" w:cs="Times New Roman"/>
          <w:bCs/>
          <w:sz w:val="20"/>
          <w:szCs w:val="20"/>
        </w:rPr>
        <w:t xml:space="preserve">Agus Dwi Anggono. (2018). </w:t>
      </w:r>
      <w:proofErr w:type="spellStart"/>
      <w:r>
        <w:rPr>
          <w:rFonts w:eastAsia="Times New Roman" w:cs="Times New Roman"/>
          <w:bCs/>
          <w:i/>
          <w:iCs/>
          <w:sz w:val="20"/>
          <w:szCs w:val="20"/>
        </w:rPr>
        <w:t>Teknologi</w:t>
      </w:r>
      <w:proofErr w:type="spellEnd"/>
      <w:r>
        <w:rPr>
          <w:rFonts w:eastAsia="Times New Roman" w:cs="Times New Roman"/>
          <w:bCs/>
          <w:i/>
          <w:iCs/>
          <w:sz w:val="20"/>
          <w:szCs w:val="20"/>
        </w:rPr>
        <w:t xml:space="preserve"> CAD/CAM/CAE </w:t>
      </w:r>
      <w:proofErr w:type="spellStart"/>
      <w:r>
        <w:rPr>
          <w:rFonts w:eastAsia="Times New Roman" w:cs="Times New Roman"/>
          <w:bCs/>
          <w:i/>
          <w:iCs/>
          <w:sz w:val="20"/>
          <w:szCs w:val="20"/>
        </w:rPr>
        <w:t>dalam</w:t>
      </w:r>
      <w:proofErr w:type="spellEnd"/>
      <w:r>
        <w:rPr>
          <w:rFonts w:eastAsia="Times New Roman" w:cs="Times New Roman"/>
          <w:bCs/>
          <w:i/>
          <w:iCs/>
          <w:sz w:val="20"/>
          <w:szCs w:val="20"/>
        </w:rPr>
        <w:t xml:space="preserve"> </w:t>
      </w:r>
      <w:proofErr w:type="spellStart"/>
      <w:r>
        <w:rPr>
          <w:rFonts w:eastAsia="Times New Roman" w:cs="Times New Roman"/>
          <w:bCs/>
          <w:i/>
          <w:iCs/>
          <w:sz w:val="20"/>
          <w:szCs w:val="20"/>
        </w:rPr>
        <w:t>industri</w:t>
      </w:r>
      <w:proofErr w:type="spellEnd"/>
      <w:r>
        <w:rPr>
          <w:rFonts w:eastAsia="Times New Roman" w:cs="Times New Roman"/>
          <w:bCs/>
          <w:i/>
          <w:iCs/>
          <w:sz w:val="20"/>
          <w:szCs w:val="20"/>
        </w:rPr>
        <w:t xml:space="preserve"> </w:t>
      </w:r>
      <w:proofErr w:type="spellStart"/>
      <w:r>
        <w:rPr>
          <w:rFonts w:eastAsia="Times New Roman" w:cs="Times New Roman"/>
          <w:bCs/>
          <w:i/>
          <w:iCs/>
          <w:sz w:val="20"/>
          <w:szCs w:val="20"/>
        </w:rPr>
        <w:t>manufaktur</w:t>
      </w:r>
      <w:proofErr w:type="spellEnd"/>
      <w:r>
        <w:rPr>
          <w:rFonts w:eastAsia="Times New Roman" w:cs="Times New Roman"/>
          <w:bCs/>
          <w:sz w:val="20"/>
          <w:szCs w:val="20"/>
        </w:rPr>
        <w:t>.</w:t>
      </w:r>
    </w:p>
    <w:p w14:paraId="7872BEC2" w14:textId="77777777" w:rsidR="00E44580" w:rsidRDefault="00E71881">
      <w:pPr>
        <w:spacing w:before="120" w:line="240" w:lineRule="auto"/>
        <w:ind w:left="720" w:hanging="720"/>
        <w:rPr>
          <w:rFonts w:eastAsia="Times New Roman" w:cs="Times New Roman"/>
          <w:bCs/>
          <w:sz w:val="20"/>
          <w:szCs w:val="20"/>
        </w:rPr>
      </w:pPr>
      <w:r>
        <w:rPr>
          <w:rFonts w:eastAsia="Times New Roman" w:cs="Times New Roman"/>
          <w:bCs/>
          <w:sz w:val="20"/>
          <w:szCs w:val="20"/>
        </w:rPr>
        <w:t xml:space="preserve">Advisor, A., Made, I. I., Batan, L., &amp; Eng, M. (n.d.). </w:t>
      </w:r>
      <w:r>
        <w:rPr>
          <w:rFonts w:eastAsia="Times New Roman" w:cs="Times New Roman"/>
          <w:bCs/>
          <w:i/>
          <w:iCs/>
          <w:sz w:val="20"/>
          <w:szCs w:val="20"/>
        </w:rPr>
        <w:t>Application of CAM NX machining for manufacturing process of die for 20 millimeters caliber cartridge case</w:t>
      </w:r>
      <w:r>
        <w:rPr>
          <w:rFonts w:eastAsia="Times New Roman" w:cs="Times New Roman"/>
          <w:bCs/>
          <w:sz w:val="20"/>
          <w:szCs w:val="20"/>
        </w:rPr>
        <w:t xml:space="preserve"> (Final project-TM 141585).</w:t>
      </w:r>
    </w:p>
    <w:p w14:paraId="650D1B4D" w14:textId="77777777" w:rsidR="00E44580" w:rsidRDefault="00E71881">
      <w:pPr>
        <w:spacing w:before="120" w:line="240" w:lineRule="auto"/>
        <w:ind w:left="720" w:hanging="720"/>
        <w:rPr>
          <w:rFonts w:eastAsia="Times New Roman" w:cs="Times New Roman"/>
          <w:bCs/>
          <w:sz w:val="20"/>
          <w:szCs w:val="20"/>
        </w:rPr>
      </w:pPr>
      <w:r>
        <w:rPr>
          <w:rFonts w:eastAsia="Times New Roman" w:cs="Times New Roman"/>
          <w:bCs/>
          <w:sz w:val="20"/>
          <w:szCs w:val="20"/>
        </w:rPr>
        <w:t xml:space="preserve">Hilman, A. (2011). </w:t>
      </w:r>
      <w:proofErr w:type="spellStart"/>
      <w:r>
        <w:rPr>
          <w:rFonts w:eastAsia="Times New Roman" w:cs="Times New Roman"/>
          <w:bCs/>
          <w:i/>
          <w:iCs/>
          <w:sz w:val="20"/>
          <w:szCs w:val="20"/>
        </w:rPr>
        <w:t>Perancangan</w:t>
      </w:r>
      <w:proofErr w:type="spellEnd"/>
      <w:r>
        <w:rPr>
          <w:rFonts w:eastAsia="Times New Roman" w:cs="Times New Roman"/>
          <w:bCs/>
          <w:i/>
          <w:iCs/>
          <w:sz w:val="20"/>
          <w:szCs w:val="20"/>
        </w:rPr>
        <w:t xml:space="preserve"> dan </w:t>
      </w:r>
      <w:proofErr w:type="spellStart"/>
      <w:r>
        <w:rPr>
          <w:rFonts w:eastAsia="Times New Roman" w:cs="Times New Roman"/>
          <w:bCs/>
          <w:i/>
          <w:iCs/>
          <w:sz w:val="20"/>
          <w:szCs w:val="20"/>
        </w:rPr>
        <w:t>analisis</w:t>
      </w:r>
      <w:proofErr w:type="spellEnd"/>
      <w:r>
        <w:rPr>
          <w:rFonts w:eastAsia="Times New Roman" w:cs="Times New Roman"/>
          <w:bCs/>
          <w:i/>
          <w:iCs/>
          <w:sz w:val="20"/>
          <w:szCs w:val="20"/>
        </w:rPr>
        <w:t xml:space="preserve"> stamping dies </w:t>
      </w:r>
      <w:proofErr w:type="spellStart"/>
      <w:r>
        <w:rPr>
          <w:rFonts w:eastAsia="Times New Roman" w:cs="Times New Roman"/>
          <w:bCs/>
          <w:i/>
          <w:iCs/>
          <w:sz w:val="20"/>
          <w:szCs w:val="20"/>
        </w:rPr>
        <w:t>untuk</w:t>
      </w:r>
      <w:proofErr w:type="spellEnd"/>
      <w:r>
        <w:rPr>
          <w:rFonts w:eastAsia="Times New Roman" w:cs="Times New Roman"/>
          <w:bCs/>
          <w:i/>
          <w:iCs/>
          <w:sz w:val="20"/>
          <w:szCs w:val="20"/>
        </w:rPr>
        <w:t xml:space="preserve"> </w:t>
      </w:r>
      <w:proofErr w:type="spellStart"/>
      <w:r>
        <w:rPr>
          <w:rFonts w:eastAsia="Times New Roman" w:cs="Times New Roman"/>
          <w:bCs/>
          <w:i/>
          <w:iCs/>
          <w:sz w:val="20"/>
          <w:szCs w:val="20"/>
        </w:rPr>
        <w:t>pembuatan</w:t>
      </w:r>
      <w:proofErr w:type="spellEnd"/>
      <w:r>
        <w:rPr>
          <w:rFonts w:eastAsia="Times New Roman" w:cs="Times New Roman"/>
          <w:bCs/>
          <w:i/>
          <w:iCs/>
          <w:sz w:val="20"/>
          <w:szCs w:val="20"/>
        </w:rPr>
        <w:t xml:space="preserve"> </w:t>
      </w:r>
      <w:proofErr w:type="spellStart"/>
      <w:r>
        <w:rPr>
          <w:rFonts w:eastAsia="Times New Roman" w:cs="Times New Roman"/>
          <w:bCs/>
          <w:i/>
          <w:iCs/>
          <w:sz w:val="20"/>
          <w:szCs w:val="20"/>
        </w:rPr>
        <w:t>produk</w:t>
      </w:r>
      <w:proofErr w:type="spellEnd"/>
      <w:r>
        <w:rPr>
          <w:rFonts w:eastAsia="Times New Roman" w:cs="Times New Roman"/>
          <w:bCs/>
          <w:i/>
          <w:iCs/>
          <w:sz w:val="20"/>
          <w:szCs w:val="20"/>
        </w:rPr>
        <w:t xml:space="preserve"> bracket bumper </w:t>
      </w:r>
      <w:proofErr w:type="spellStart"/>
      <w:r>
        <w:rPr>
          <w:rFonts w:eastAsia="Times New Roman" w:cs="Times New Roman"/>
          <w:bCs/>
          <w:i/>
          <w:iCs/>
          <w:sz w:val="20"/>
          <w:szCs w:val="20"/>
        </w:rPr>
        <w:t>dengan</w:t>
      </w:r>
      <w:proofErr w:type="spellEnd"/>
      <w:r>
        <w:rPr>
          <w:rFonts w:eastAsia="Times New Roman" w:cs="Times New Roman"/>
          <w:bCs/>
          <w:i/>
          <w:iCs/>
          <w:sz w:val="20"/>
          <w:szCs w:val="20"/>
        </w:rPr>
        <w:t xml:space="preserve"> proses press multi forging</w:t>
      </w:r>
      <w:r>
        <w:rPr>
          <w:rFonts w:eastAsia="Times New Roman" w:cs="Times New Roman"/>
          <w:bCs/>
          <w:sz w:val="20"/>
          <w:szCs w:val="20"/>
        </w:rPr>
        <w:t>.</w:t>
      </w:r>
    </w:p>
    <w:p w14:paraId="42DD3882" w14:textId="77777777" w:rsidR="00E44580" w:rsidRDefault="00E71881">
      <w:pPr>
        <w:spacing w:before="120" w:line="240" w:lineRule="auto"/>
        <w:ind w:left="720" w:hanging="720"/>
        <w:rPr>
          <w:rFonts w:eastAsia="Times New Roman" w:cs="Times New Roman"/>
          <w:bCs/>
          <w:sz w:val="20"/>
          <w:szCs w:val="20"/>
        </w:rPr>
      </w:pPr>
      <w:r>
        <w:rPr>
          <w:rFonts w:eastAsia="Times New Roman" w:cs="Times New Roman"/>
          <w:bCs/>
          <w:sz w:val="20"/>
          <w:szCs w:val="20"/>
        </w:rPr>
        <w:t xml:space="preserve">Idiar. (2016). </w:t>
      </w:r>
      <w:proofErr w:type="spellStart"/>
      <w:r>
        <w:rPr>
          <w:rFonts w:eastAsia="Times New Roman" w:cs="Times New Roman"/>
          <w:bCs/>
          <w:i/>
          <w:iCs/>
          <w:sz w:val="20"/>
          <w:szCs w:val="20"/>
        </w:rPr>
        <w:t>Rancang</w:t>
      </w:r>
      <w:proofErr w:type="spellEnd"/>
      <w:r>
        <w:rPr>
          <w:rFonts w:eastAsia="Times New Roman" w:cs="Times New Roman"/>
          <w:bCs/>
          <w:i/>
          <w:iCs/>
          <w:sz w:val="20"/>
          <w:szCs w:val="20"/>
        </w:rPr>
        <w:t xml:space="preserve"> </w:t>
      </w:r>
      <w:proofErr w:type="spellStart"/>
      <w:r>
        <w:rPr>
          <w:rFonts w:eastAsia="Times New Roman" w:cs="Times New Roman"/>
          <w:bCs/>
          <w:i/>
          <w:iCs/>
          <w:sz w:val="20"/>
          <w:szCs w:val="20"/>
        </w:rPr>
        <w:t>bangun</w:t>
      </w:r>
      <w:proofErr w:type="spellEnd"/>
      <w:r>
        <w:rPr>
          <w:rFonts w:eastAsia="Times New Roman" w:cs="Times New Roman"/>
          <w:bCs/>
          <w:i/>
          <w:iCs/>
          <w:sz w:val="20"/>
          <w:szCs w:val="20"/>
        </w:rPr>
        <w:t xml:space="preserve"> </w:t>
      </w:r>
      <w:proofErr w:type="spellStart"/>
      <w:r>
        <w:rPr>
          <w:rFonts w:eastAsia="Times New Roman" w:cs="Times New Roman"/>
          <w:bCs/>
          <w:i/>
          <w:iCs/>
          <w:sz w:val="20"/>
          <w:szCs w:val="20"/>
        </w:rPr>
        <w:t>cetakan</w:t>
      </w:r>
      <w:proofErr w:type="spellEnd"/>
      <w:r>
        <w:rPr>
          <w:rFonts w:eastAsia="Times New Roman" w:cs="Times New Roman"/>
          <w:bCs/>
          <w:i/>
          <w:iCs/>
          <w:sz w:val="20"/>
          <w:szCs w:val="20"/>
        </w:rPr>
        <w:t xml:space="preserve"> deep drawing cup </w:t>
      </w:r>
      <w:proofErr w:type="spellStart"/>
      <w:r>
        <w:rPr>
          <w:rFonts w:eastAsia="Times New Roman" w:cs="Times New Roman"/>
          <w:bCs/>
          <w:i/>
          <w:iCs/>
          <w:sz w:val="20"/>
          <w:szCs w:val="20"/>
        </w:rPr>
        <w:t>silindris</w:t>
      </w:r>
      <w:proofErr w:type="spellEnd"/>
      <w:r>
        <w:rPr>
          <w:rFonts w:eastAsia="Times New Roman" w:cs="Times New Roman"/>
          <w:bCs/>
          <w:i/>
          <w:iCs/>
          <w:sz w:val="20"/>
          <w:szCs w:val="20"/>
        </w:rPr>
        <w:t xml:space="preserve"> </w:t>
      </w:r>
      <w:proofErr w:type="spellStart"/>
      <w:r>
        <w:rPr>
          <w:rFonts w:eastAsia="Times New Roman" w:cs="Times New Roman"/>
          <w:bCs/>
          <w:i/>
          <w:iCs/>
          <w:sz w:val="20"/>
          <w:szCs w:val="20"/>
        </w:rPr>
        <w:t>untuk</w:t>
      </w:r>
      <w:proofErr w:type="spellEnd"/>
      <w:r>
        <w:rPr>
          <w:rFonts w:eastAsia="Times New Roman" w:cs="Times New Roman"/>
          <w:bCs/>
          <w:i/>
          <w:iCs/>
          <w:sz w:val="20"/>
          <w:szCs w:val="20"/>
        </w:rPr>
        <w:t xml:space="preserve"> </w:t>
      </w:r>
      <w:proofErr w:type="spellStart"/>
      <w:r>
        <w:rPr>
          <w:rFonts w:eastAsia="Times New Roman" w:cs="Times New Roman"/>
          <w:bCs/>
          <w:i/>
          <w:iCs/>
          <w:sz w:val="20"/>
          <w:szCs w:val="20"/>
        </w:rPr>
        <w:t>selongsong</w:t>
      </w:r>
      <w:proofErr w:type="spellEnd"/>
      <w:r>
        <w:rPr>
          <w:rFonts w:eastAsia="Times New Roman" w:cs="Times New Roman"/>
          <w:bCs/>
          <w:i/>
          <w:iCs/>
          <w:sz w:val="20"/>
          <w:szCs w:val="20"/>
        </w:rPr>
        <w:t xml:space="preserve"> </w:t>
      </w:r>
      <w:proofErr w:type="spellStart"/>
      <w:r>
        <w:rPr>
          <w:rFonts w:eastAsia="Times New Roman" w:cs="Times New Roman"/>
          <w:bCs/>
          <w:i/>
          <w:iCs/>
          <w:sz w:val="20"/>
          <w:szCs w:val="20"/>
        </w:rPr>
        <w:t>peluru</w:t>
      </w:r>
      <w:proofErr w:type="spellEnd"/>
      <w:r>
        <w:rPr>
          <w:rFonts w:eastAsia="Times New Roman" w:cs="Times New Roman"/>
          <w:bCs/>
          <w:i/>
          <w:iCs/>
          <w:sz w:val="20"/>
          <w:szCs w:val="20"/>
        </w:rPr>
        <w:t xml:space="preserve"> caliber 20 </w:t>
      </w:r>
      <w:proofErr w:type="spellStart"/>
      <w:r>
        <w:rPr>
          <w:rFonts w:eastAsia="Times New Roman" w:cs="Times New Roman"/>
          <w:bCs/>
          <w:i/>
          <w:iCs/>
          <w:sz w:val="20"/>
          <w:szCs w:val="20"/>
        </w:rPr>
        <w:t>milimeter</w:t>
      </w:r>
      <w:proofErr w:type="spellEnd"/>
      <w:r>
        <w:rPr>
          <w:rFonts w:eastAsia="Times New Roman" w:cs="Times New Roman"/>
          <w:bCs/>
          <w:sz w:val="20"/>
          <w:szCs w:val="20"/>
        </w:rPr>
        <w:t xml:space="preserve"> [</w:t>
      </w:r>
      <w:proofErr w:type="spellStart"/>
      <w:r>
        <w:rPr>
          <w:rFonts w:eastAsia="Times New Roman" w:cs="Times New Roman"/>
          <w:bCs/>
          <w:sz w:val="20"/>
          <w:szCs w:val="20"/>
        </w:rPr>
        <w:t>Skripsi</w:t>
      </w:r>
      <w:proofErr w:type="spellEnd"/>
      <w:r>
        <w:rPr>
          <w:rFonts w:eastAsia="Times New Roman" w:cs="Times New Roman"/>
          <w:bCs/>
          <w:sz w:val="20"/>
          <w:szCs w:val="20"/>
        </w:rPr>
        <w:t xml:space="preserve"> </w:t>
      </w:r>
      <w:proofErr w:type="spellStart"/>
      <w:r>
        <w:rPr>
          <w:rFonts w:eastAsia="Times New Roman" w:cs="Times New Roman"/>
          <w:bCs/>
          <w:sz w:val="20"/>
          <w:szCs w:val="20"/>
        </w:rPr>
        <w:t>tidak</w:t>
      </w:r>
      <w:proofErr w:type="spellEnd"/>
      <w:r>
        <w:rPr>
          <w:rFonts w:eastAsia="Times New Roman" w:cs="Times New Roman"/>
          <w:bCs/>
          <w:sz w:val="20"/>
          <w:szCs w:val="20"/>
        </w:rPr>
        <w:t xml:space="preserve"> </w:t>
      </w:r>
      <w:proofErr w:type="spellStart"/>
      <w:r>
        <w:rPr>
          <w:rFonts w:eastAsia="Times New Roman" w:cs="Times New Roman"/>
          <w:bCs/>
          <w:sz w:val="20"/>
          <w:szCs w:val="20"/>
        </w:rPr>
        <w:t>diterbitkan</w:t>
      </w:r>
      <w:proofErr w:type="spellEnd"/>
      <w:r>
        <w:rPr>
          <w:rFonts w:eastAsia="Times New Roman" w:cs="Times New Roman"/>
          <w:bCs/>
          <w:sz w:val="20"/>
          <w:szCs w:val="20"/>
        </w:rPr>
        <w:t xml:space="preserve">]. Teknik </w:t>
      </w:r>
      <w:proofErr w:type="spellStart"/>
      <w:r>
        <w:rPr>
          <w:rFonts w:eastAsia="Times New Roman" w:cs="Times New Roman"/>
          <w:bCs/>
          <w:sz w:val="20"/>
          <w:szCs w:val="20"/>
        </w:rPr>
        <w:t>Mesin</w:t>
      </w:r>
      <w:proofErr w:type="spellEnd"/>
      <w:r>
        <w:rPr>
          <w:rFonts w:eastAsia="Times New Roman" w:cs="Times New Roman"/>
          <w:bCs/>
          <w:sz w:val="20"/>
          <w:szCs w:val="20"/>
        </w:rPr>
        <w:t xml:space="preserve"> ITS.</w:t>
      </w:r>
    </w:p>
    <w:p w14:paraId="3BCD9D68" w14:textId="77777777" w:rsidR="00E44580" w:rsidRDefault="00E71881">
      <w:pPr>
        <w:spacing w:before="120" w:line="240" w:lineRule="auto"/>
        <w:ind w:left="720" w:hanging="720"/>
        <w:rPr>
          <w:rFonts w:eastAsia="Times New Roman" w:cs="Times New Roman"/>
          <w:bCs/>
          <w:sz w:val="20"/>
          <w:szCs w:val="20"/>
        </w:rPr>
      </w:pPr>
      <w:r>
        <w:rPr>
          <w:rFonts w:eastAsia="Times New Roman" w:cs="Times New Roman"/>
          <w:bCs/>
          <w:sz w:val="20"/>
          <w:szCs w:val="20"/>
        </w:rPr>
        <w:t xml:space="preserve">IMDIA. (2011). </w:t>
      </w:r>
      <w:r>
        <w:rPr>
          <w:rFonts w:eastAsia="Times New Roman" w:cs="Times New Roman"/>
          <w:bCs/>
          <w:i/>
          <w:iCs/>
          <w:sz w:val="20"/>
          <w:szCs w:val="20"/>
        </w:rPr>
        <w:t xml:space="preserve">Text </w:t>
      </w:r>
      <w:proofErr w:type="spellStart"/>
      <w:r>
        <w:rPr>
          <w:rFonts w:eastAsia="Times New Roman" w:cs="Times New Roman"/>
          <w:bCs/>
          <w:i/>
          <w:iCs/>
          <w:sz w:val="20"/>
          <w:szCs w:val="20"/>
        </w:rPr>
        <w:t>ujian</w:t>
      </w:r>
      <w:proofErr w:type="spellEnd"/>
      <w:r>
        <w:rPr>
          <w:rFonts w:eastAsia="Times New Roman" w:cs="Times New Roman"/>
          <w:bCs/>
          <w:i/>
          <w:iCs/>
          <w:sz w:val="20"/>
          <w:szCs w:val="20"/>
        </w:rPr>
        <w:t xml:space="preserve"> </w:t>
      </w:r>
      <w:proofErr w:type="spellStart"/>
      <w:r>
        <w:rPr>
          <w:rFonts w:eastAsia="Times New Roman" w:cs="Times New Roman"/>
          <w:bCs/>
          <w:i/>
          <w:iCs/>
          <w:sz w:val="20"/>
          <w:szCs w:val="20"/>
        </w:rPr>
        <w:t>sertifikasi</w:t>
      </w:r>
      <w:proofErr w:type="spellEnd"/>
      <w:r>
        <w:rPr>
          <w:rFonts w:eastAsia="Times New Roman" w:cs="Times New Roman"/>
          <w:bCs/>
          <w:i/>
          <w:iCs/>
          <w:sz w:val="20"/>
          <w:szCs w:val="20"/>
        </w:rPr>
        <w:t xml:space="preserve"> design die press</w:t>
      </w:r>
      <w:r>
        <w:rPr>
          <w:rFonts w:eastAsia="Times New Roman" w:cs="Times New Roman"/>
          <w:bCs/>
          <w:sz w:val="20"/>
          <w:szCs w:val="20"/>
        </w:rPr>
        <w:t>.</w:t>
      </w:r>
    </w:p>
    <w:p w14:paraId="5A1C71E0" w14:textId="77777777" w:rsidR="00E44580" w:rsidRDefault="00E71881">
      <w:pPr>
        <w:spacing w:before="120" w:line="240" w:lineRule="auto"/>
        <w:ind w:left="720" w:hanging="720"/>
        <w:rPr>
          <w:rFonts w:eastAsia="Times New Roman" w:cs="Times New Roman"/>
          <w:bCs/>
          <w:sz w:val="20"/>
          <w:szCs w:val="20"/>
        </w:rPr>
      </w:pPr>
      <w:r w:rsidRPr="00A67B29">
        <w:rPr>
          <w:rFonts w:eastAsia="Times New Roman" w:cs="Times New Roman"/>
          <w:bCs/>
          <w:sz w:val="20"/>
          <w:szCs w:val="20"/>
          <w:lang w:val="fi-FI"/>
        </w:rPr>
        <w:t xml:space="preserve">Lakkannavar, V. A., &amp; Kattimani, K. D. (n.d.). </w:t>
      </w:r>
      <w:r>
        <w:rPr>
          <w:rFonts w:eastAsia="Times New Roman" w:cs="Times New Roman"/>
          <w:bCs/>
          <w:i/>
          <w:iCs/>
          <w:sz w:val="20"/>
          <w:szCs w:val="20"/>
        </w:rPr>
        <w:t>Modelling and failure analysis in sheet metal forming process using CAE</w:t>
      </w:r>
      <w:r>
        <w:rPr>
          <w:rFonts w:eastAsia="Times New Roman" w:cs="Times New Roman"/>
          <w:bCs/>
          <w:sz w:val="20"/>
          <w:szCs w:val="20"/>
        </w:rPr>
        <w:t xml:space="preserve">. Retrieved from </w:t>
      </w:r>
      <w:hyperlink r:id="rId21" w:tgtFrame="_new" w:history="1">
        <w:r>
          <w:rPr>
            <w:rFonts w:eastAsia="Times New Roman" w:cs="Times New Roman"/>
            <w:bCs/>
            <w:sz w:val="20"/>
            <w:szCs w:val="20"/>
            <w:u w:val="single"/>
          </w:rPr>
          <w:t>https://www.ijert.org</w:t>
        </w:r>
      </w:hyperlink>
    </w:p>
    <w:p w14:paraId="10498913" w14:textId="77777777" w:rsidR="00E44580" w:rsidRDefault="00E71881">
      <w:pPr>
        <w:spacing w:before="120" w:line="240" w:lineRule="auto"/>
        <w:ind w:left="720" w:hanging="720"/>
        <w:rPr>
          <w:rFonts w:eastAsia="Times New Roman" w:cs="Times New Roman"/>
          <w:bCs/>
          <w:sz w:val="20"/>
          <w:szCs w:val="20"/>
        </w:rPr>
      </w:pPr>
      <w:r>
        <w:rPr>
          <w:rFonts w:eastAsia="Times New Roman" w:cs="Times New Roman"/>
          <w:bCs/>
          <w:sz w:val="20"/>
          <w:szCs w:val="20"/>
        </w:rPr>
        <w:t xml:space="preserve">Mat </w:t>
      </w:r>
      <w:proofErr w:type="spellStart"/>
      <w:r>
        <w:rPr>
          <w:rFonts w:eastAsia="Times New Roman" w:cs="Times New Roman"/>
          <w:bCs/>
          <w:sz w:val="20"/>
          <w:szCs w:val="20"/>
        </w:rPr>
        <w:t>Dzahir</w:t>
      </w:r>
      <w:proofErr w:type="spellEnd"/>
      <w:r>
        <w:rPr>
          <w:rFonts w:eastAsia="Times New Roman" w:cs="Times New Roman"/>
          <w:bCs/>
          <w:sz w:val="20"/>
          <w:szCs w:val="20"/>
        </w:rPr>
        <w:t xml:space="preserve">, M. A., Hussein, M., Supriyo, B., Tawi, K., Kob, S., &amp; Mat </w:t>
      </w:r>
      <w:proofErr w:type="spellStart"/>
      <w:r>
        <w:rPr>
          <w:rFonts w:eastAsia="Times New Roman" w:cs="Times New Roman"/>
          <w:bCs/>
          <w:sz w:val="20"/>
          <w:szCs w:val="20"/>
        </w:rPr>
        <w:t>Dzahir</w:t>
      </w:r>
      <w:proofErr w:type="spellEnd"/>
      <w:r>
        <w:rPr>
          <w:rFonts w:eastAsia="Times New Roman" w:cs="Times New Roman"/>
          <w:bCs/>
          <w:sz w:val="20"/>
          <w:szCs w:val="20"/>
        </w:rPr>
        <w:t xml:space="preserve">, M. A. (2015). System identification of clamping force controller for secondary pulley of electro mechanical dual acting pulley continuously variable transmission (EMDAP CVT). </w:t>
      </w:r>
      <w:proofErr w:type="spellStart"/>
      <w:r>
        <w:rPr>
          <w:rFonts w:eastAsia="Times New Roman" w:cs="Times New Roman"/>
          <w:bCs/>
          <w:i/>
          <w:iCs/>
          <w:sz w:val="20"/>
          <w:szCs w:val="20"/>
        </w:rPr>
        <w:t>Jurnal</w:t>
      </w:r>
      <w:proofErr w:type="spellEnd"/>
      <w:r>
        <w:rPr>
          <w:rFonts w:eastAsia="Times New Roman" w:cs="Times New Roman"/>
          <w:bCs/>
          <w:i/>
          <w:iCs/>
          <w:sz w:val="20"/>
          <w:szCs w:val="20"/>
        </w:rPr>
        <w:t xml:space="preserve"> </w:t>
      </w:r>
      <w:proofErr w:type="spellStart"/>
      <w:r>
        <w:rPr>
          <w:rFonts w:eastAsia="Times New Roman" w:cs="Times New Roman"/>
          <w:bCs/>
          <w:i/>
          <w:iCs/>
          <w:sz w:val="20"/>
          <w:szCs w:val="20"/>
        </w:rPr>
        <w:t>Teknologi</w:t>
      </w:r>
      <w:proofErr w:type="spellEnd"/>
      <w:r>
        <w:rPr>
          <w:rFonts w:eastAsia="Times New Roman" w:cs="Times New Roman"/>
          <w:bCs/>
          <w:i/>
          <w:iCs/>
          <w:sz w:val="20"/>
          <w:szCs w:val="20"/>
        </w:rPr>
        <w:t>, 77</w:t>
      </w:r>
      <w:r>
        <w:rPr>
          <w:rFonts w:eastAsia="Times New Roman" w:cs="Times New Roman"/>
          <w:bCs/>
          <w:sz w:val="20"/>
          <w:szCs w:val="20"/>
        </w:rPr>
        <w:t xml:space="preserve">(1). </w:t>
      </w:r>
      <w:hyperlink r:id="rId22" w:tgtFrame="_new" w:history="1">
        <w:r>
          <w:rPr>
            <w:rFonts w:eastAsia="Times New Roman" w:cs="Times New Roman"/>
            <w:bCs/>
            <w:sz w:val="20"/>
            <w:szCs w:val="20"/>
            <w:u w:val="single"/>
          </w:rPr>
          <w:t>https://doi.org/10.11113/jt.v77.6667</w:t>
        </w:r>
      </w:hyperlink>
    </w:p>
    <w:p w14:paraId="701C6A8D" w14:textId="77777777" w:rsidR="00E44580" w:rsidRDefault="00E71881">
      <w:pPr>
        <w:spacing w:before="120" w:line="240" w:lineRule="auto"/>
        <w:ind w:left="720" w:hanging="720"/>
        <w:rPr>
          <w:rFonts w:eastAsia="Times New Roman" w:cs="Times New Roman"/>
          <w:bCs/>
          <w:sz w:val="20"/>
          <w:szCs w:val="20"/>
        </w:rPr>
      </w:pPr>
      <w:r>
        <w:rPr>
          <w:rFonts w:eastAsia="Times New Roman" w:cs="Times New Roman"/>
          <w:bCs/>
          <w:sz w:val="20"/>
          <w:szCs w:val="20"/>
        </w:rPr>
        <w:t xml:space="preserve">Misumi Corporation. (2007). </w:t>
      </w:r>
      <w:r>
        <w:rPr>
          <w:rFonts w:eastAsia="Times New Roman" w:cs="Times New Roman"/>
          <w:bCs/>
          <w:i/>
          <w:iCs/>
          <w:sz w:val="20"/>
          <w:szCs w:val="20"/>
        </w:rPr>
        <w:t>Misumi press dies standard part technical specification</w:t>
      </w:r>
      <w:r>
        <w:rPr>
          <w:rFonts w:eastAsia="Times New Roman" w:cs="Times New Roman"/>
          <w:bCs/>
          <w:sz w:val="20"/>
          <w:szCs w:val="20"/>
        </w:rPr>
        <w:t xml:space="preserve"> (1st ed.).</w:t>
      </w:r>
    </w:p>
    <w:p w14:paraId="0D309C76" w14:textId="77777777" w:rsidR="00E44580" w:rsidRDefault="00E71881">
      <w:pPr>
        <w:spacing w:before="120" w:line="240" w:lineRule="auto"/>
        <w:ind w:left="720" w:hanging="720"/>
        <w:rPr>
          <w:rFonts w:eastAsia="Times New Roman" w:cs="Times New Roman"/>
          <w:bCs/>
          <w:sz w:val="20"/>
          <w:szCs w:val="20"/>
        </w:rPr>
      </w:pPr>
      <w:r>
        <w:rPr>
          <w:rFonts w:eastAsia="Times New Roman" w:cs="Times New Roman"/>
          <w:bCs/>
          <w:sz w:val="20"/>
          <w:szCs w:val="20"/>
        </w:rPr>
        <w:t xml:space="preserve">PT Inti </w:t>
      </w:r>
      <w:proofErr w:type="spellStart"/>
      <w:r>
        <w:rPr>
          <w:rFonts w:eastAsia="Times New Roman" w:cs="Times New Roman"/>
          <w:bCs/>
          <w:sz w:val="20"/>
          <w:szCs w:val="20"/>
        </w:rPr>
        <w:t>Pantja</w:t>
      </w:r>
      <w:proofErr w:type="spellEnd"/>
      <w:r>
        <w:rPr>
          <w:rFonts w:eastAsia="Times New Roman" w:cs="Times New Roman"/>
          <w:bCs/>
          <w:sz w:val="20"/>
          <w:szCs w:val="20"/>
        </w:rPr>
        <w:t xml:space="preserve"> Press </w:t>
      </w:r>
      <w:proofErr w:type="spellStart"/>
      <w:r>
        <w:rPr>
          <w:rFonts w:eastAsia="Times New Roman" w:cs="Times New Roman"/>
          <w:bCs/>
          <w:sz w:val="20"/>
          <w:szCs w:val="20"/>
        </w:rPr>
        <w:t>Industri</w:t>
      </w:r>
      <w:proofErr w:type="spellEnd"/>
      <w:r>
        <w:rPr>
          <w:rFonts w:eastAsia="Times New Roman" w:cs="Times New Roman"/>
          <w:bCs/>
          <w:sz w:val="20"/>
          <w:szCs w:val="20"/>
        </w:rPr>
        <w:t xml:space="preserve">, Dept Marketing &amp; Engineering, Div Engineering. (2018). </w:t>
      </w:r>
      <w:r>
        <w:rPr>
          <w:rFonts w:eastAsia="Times New Roman" w:cs="Times New Roman"/>
          <w:bCs/>
          <w:i/>
          <w:iCs/>
          <w:sz w:val="20"/>
          <w:szCs w:val="20"/>
        </w:rPr>
        <w:t>Design policy engineering</w:t>
      </w:r>
      <w:r>
        <w:rPr>
          <w:rFonts w:eastAsia="Times New Roman" w:cs="Times New Roman"/>
          <w:bCs/>
          <w:sz w:val="20"/>
          <w:szCs w:val="20"/>
        </w:rPr>
        <w:t>.</w:t>
      </w:r>
    </w:p>
    <w:p w14:paraId="1CEF0A73" w14:textId="77777777" w:rsidR="00E44580" w:rsidRDefault="00E71881">
      <w:pPr>
        <w:spacing w:before="120" w:line="240" w:lineRule="auto"/>
        <w:ind w:left="720" w:hanging="720"/>
        <w:rPr>
          <w:rFonts w:eastAsia="Times New Roman" w:cs="Times New Roman"/>
          <w:bCs/>
          <w:sz w:val="20"/>
          <w:szCs w:val="20"/>
        </w:rPr>
      </w:pPr>
      <w:r>
        <w:rPr>
          <w:rFonts w:eastAsia="Times New Roman" w:cs="Times New Roman"/>
          <w:bCs/>
          <w:sz w:val="20"/>
          <w:szCs w:val="20"/>
        </w:rPr>
        <w:t xml:space="preserve">Suchy, I. (2006). </w:t>
      </w:r>
      <w:r>
        <w:rPr>
          <w:rFonts w:eastAsia="Times New Roman" w:cs="Times New Roman"/>
          <w:bCs/>
          <w:i/>
          <w:iCs/>
          <w:sz w:val="20"/>
          <w:szCs w:val="20"/>
        </w:rPr>
        <w:t>Handbook of die design</w:t>
      </w:r>
      <w:r>
        <w:rPr>
          <w:rFonts w:eastAsia="Times New Roman" w:cs="Times New Roman"/>
          <w:bCs/>
          <w:sz w:val="20"/>
          <w:szCs w:val="20"/>
        </w:rPr>
        <w:t>. McGraw-Hill.</w:t>
      </w:r>
    </w:p>
    <w:p w14:paraId="19709E5E" w14:textId="77777777" w:rsidR="00E44580" w:rsidRPr="00A67B29" w:rsidRDefault="00E71881">
      <w:pPr>
        <w:spacing w:before="120" w:line="240" w:lineRule="auto"/>
        <w:ind w:left="720" w:hanging="720"/>
        <w:rPr>
          <w:rFonts w:eastAsia="Times New Roman" w:cs="Times New Roman"/>
          <w:bCs/>
          <w:sz w:val="20"/>
          <w:szCs w:val="20"/>
          <w:lang w:val="sv-SE"/>
        </w:rPr>
      </w:pPr>
      <w:r w:rsidRPr="00A67B29">
        <w:rPr>
          <w:rFonts w:eastAsia="Times New Roman" w:cs="Times New Roman"/>
          <w:bCs/>
          <w:sz w:val="20"/>
          <w:szCs w:val="20"/>
          <w:lang w:val="sv-SE"/>
        </w:rPr>
        <w:t xml:space="preserve">Sudarmawan, R. (2009). </w:t>
      </w:r>
      <w:r w:rsidRPr="00A67B29">
        <w:rPr>
          <w:rFonts w:eastAsia="Times New Roman" w:cs="Times New Roman"/>
          <w:bCs/>
          <w:i/>
          <w:iCs/>
          <w:sz w:val="20"/>
          <w:szCs w:val="20"/>
          <w:lang w:val="sv-SE"/>
        </w:rPr>
        <w:t>Teknologi press dies</w:t>
      </w:r>
      <w:r w:rsidRPr="00A67B29">
        <w:rPr>
          <w:rFonts w:eastAsia="Times New Roman" w:cs="Times New Roman"/>
          <w:bCs/>
          <w:sz w:val="20"/>
          <w:szCs w:val="20"/>
          <w:lang w:val="sv-SE"/>
        </w:rPr>
        <w:t>. Penerbit Kanisius.</w:t>
      </w:r>
    </w:p>
    <w:p w14:paraId="107845A8" w14:textId="77777777" w:rsidR="00E44580" w:rsidRDefault="00E71881">
      <w:pPr>
        <w:spacing w:before="120" w:line="240" w:lineRule="auto"/>
        <w:ind w:left="720" w:hanging="720"/>
        <w:rPr>
          <w:rFonts w:eastAsia="Times New Roman" w:cs="Times New Roman"/>
          <w:bCs/>
          <w:sz w:val="20"/>
          <w:szCs w:val="20"/>
        </w:rPr>
      </w:pPr>
      <w:proofErr w:type="spellStart"/>
      <w:r>
        <w:rPr>
          <w:rFonts w:eastAsia="Times New Roman" w:cs="Times New Roman"/>
          <w:bCs/>
          <w:sz w:val="20"/>
          <w:szCs w:val="20"/>
        </w:rPr>
        <w:t>Tanshin</w:t>
      </w:r>
      <w:proofErr w:type="spellEnd"/>
      <w:r>
        <w:rPr>
          <w:rFonts w:eastAsia="Times New Roman" w:cs="Times New Roman"/>
          <w:bCs/>
          <w:sz w:val="20"/>
          <w:szCs w:val="20"/>
        </w:rPr>
        <w:t xml:space="preserve">, M. (2011). </w:t>
      </w:r>
      <w:r>
        <w:rPr>
          <w:rFonts w:eastAsia="Times New Roman" w:cs="Times New Roman"/>
          <w:bCs/>
          <w:i/>
          <w:iCs/>
          <w:sz w:val="20"/>
          <w:szCs w:val="20"/>
        </w:rPr>
        <w:t xml:space="preserve">Press </w:t>
      </w:r>
      <w:proofErr w:type="gramStart"/>
      <w:r>
        <w:rPr>
          <w:rFonts w:eastAsia="Times New Roman" w:cs="Times New Roman"/>
          <w:bCs/>
          <w:i/>
          <w:iCs/>
          <w:sz w:val="20"/>
          <w:szCs w:val="20"/>
        </w:rPr>
        <w:t>die</w:t>
      </w:r>
      <w:proofErr w:type="gramEnd"/>
      <w:r>
        <w:rPr>
          <w:rFonts w:eastAsia="Times New Roman" w:cs="Times New Roman"/>
          <w:bCs/>
          <w:i/>
          <w:iCs/>
          <w:sz w:val="20"/>
          <w:szCs w:val="20"/>
        </w:rPr>
        <w:t xml:space="preserve"> design basic textbook</w:t>
      </w:r>
      <w:r>
        <w:rPr>
          <w:rFonts w:eastAsia="Times New Roman" w:cs="Times New Roman"/>
          <w:bCs/>
          <w:sz w:val="20"/>
          <w:szCs w:val="20"/>
        </w:rPr>
        <w:t xml:space="preserve"> (I. M. &amp; D. I. Association, Eds.).</w:t>
      </w:r>
    </w:p>
    <w:p w14:paraId="7114F8C6" w14:textId="77777777" w:rsidR="00E44580" w:rsidRDefault="00E71881">
      <w:pPr>
        <w:spacing w:before="120" w:line="240" w:lineRule="auto"/>
        <w:ind w:left="720" w:hanging="720"/>
        <w:rPr>
          <w:rFonts w:eastAsia="Times New Roman" w:cs="Times New Roman"/>
          <w:bCs/>
          <w:sz w:val="20"/>
          <w:szCs w:val="20"/>
        </w:rPr>
      </w:pPr>
      <w:proofErr w:type="spellStart"/>
      <w:r>
        <w:rPr>
          <w:rFonts w:eastAsia="Times New Roman" w:cs="Times New Roman"/>
          <w:bCs/>
          <w:sz w:val="20"/>
          <w:szCs w:val="20"/>
        </w:rPr>
        <w:lastRenderedPageBreak/>
        <w:t>Wróbel</w:t>
      </w:r>
      <w:proofErr w:type="spellEnd"/>
      <w:r>
        <w:rPr>
          <w:rFonts w:eastAsia="Times New Roman" w:cs="Times New Roman"/>
          <w:bCs/>
          <w:sz w:val="20"/>
          <w:szCs w:val="20"/>
        </w:rPr>
        <w:t xml:space="preserve">, I. (2014). Biographical notes. </w:t>
      </w:r>
      <w:r>
        <w:rPr>
          <w:rFonts w:eastAsia="Times New Roman" w:cs="Times New Roman"/>
          <w:bCs/>
          <w:i/>
          <w:iCs/>
          <w:sz w:val="20"/>
          <w:szCs w:val="20"/>
        </w:rPr>
        <w:t xml:space="preserve">Acta </w:t>
      </w:r>
      <w:proofErr w:type="spellStart"/>
      <w:r>
        <w:rPr>
          <w:rFonts w:eastAsia="Times New Roman" w:cs="Times New Roman"/>
          <w:bCs/>
          <w:i/>
          <w:iCs/>
          <w:sz w:val="20"/>
          <w:szCs w:val="20"/>
        </w:rPr>
        <w:t>Mechanica</w:t>
      </w:r>
      <w:proofErr w:type="spellEnd"/>
      <w:r>
        <w:rPr>
          <w:rFonts w:eastAsia="Times New Roman" w:cs="Times New Roman"/>
          <w:bCs/>
          <w:i/>
          <w:iCs/>
          <w:sz w:val="20"/>
          <w:szCs w:val="20"/>
        </w:rPr>
        <w:t xml:space="preserve"> </w:t>
      </w:r>
      <w:proofErr w:type="spellStart"/>
      <w:r>
        <w:rPr>
          <w:rFonts w:eastAsia="Times New Roman" w:cs="Times New Roman"/>
          <w:bCs/>
          <w:i/>
          <w:iCs/>
          <w:sz w:val="20"/>
          <w:szCs w:val="20"/>
        </w:rPr>
        <w:t>Slovaca</w:t>
      </w:r>
      <w:proofErr w:type="spellEnd"/>
      <w:r>
        <w:rPr>
          <w:rFonts w:eastAsia="Times New Roman" w:cs="Times New Roman"/>
          <w:bCs/>
          <w:i/>
          <w:iCs/>
          <w:sz w:val="20"/>
          <w:szCs w:val="20"/>
        </w:rPr>
        <w:t>, 82</w:t>
      </w:r>
      <w:r>
        <w:rPr>
          <w:rFonts w:eastAsia="Times New Roman" w:cs="Times New Roman"/>
          <w:bCs/>
          <w:sz w:val="20"/>
          <w:szCs w:val="20"/>
        </w:rPr>
        <w:t xml:space="preserve">(1), 82–86. </w:t>
      </w:r>
      <w:hyperlink r:id="rId23" w:tgtFrame="_new" w:history="1">
        <w:r>
          <w:rPr>
            <w:rFonts w:eastAsia="Times New Roman" w:cs="Times New Roman"/>
            <w:bCs/>
            <w:sz w:val="20"/>
            <w:szCs w:val="20"/>
            <w:u w:val="single"/>
          </w:rPr>
          <w:t>https://doi.org/10.1515/mopa-2014-0012</w:t>
        </w:r>
      </w:hyperlink>
    </w:p>
    <w:p w14:paraId="4C98AD5A" w14:textId="77777777" w:rsidR="00E44580" w:rsidRDefault="00E71881">
      <w:pPr>
        <w:spacing w:before="120" w:line="240" w:lineRule="auto"/>
        <w:ind w:left="720" w:hanging="720"/>
        <w:rPr>
          <w:rFonts w:eastAsia="Times New Roman" w:cs="Times New Roman"/>
          <w:bCs/>
          <w:sz w:val="20"/>
          <w:szCs w:val="20"/>
        </w:rPr>
      </w:pPr>
      <w:r>
        <w:rPr>
          <w:rFonts w:eastAsia="Times New Roman" w:cs="Times New Roman"/>
          <w:bCs/>
          <w:sz w:val="20"/>
          <w:szCs w:val="20"/>
        </w:rPr>
        <w:t xml:space="preserve">Yang, H., He, Y., Li, H., Fan, H., &amp; Zhan, M. (2012). Advances and trends on tube bending forming technologies. </w:t>
      </w:r>
      <w:r>
        <w:rPr>
          <w:rFonts w:eastAsia="Times New Roman" w:cs="Times New Roman"/>
          <w:bCs/>
          <w:i/>
          <w:iCs/>
          <w:sz w:val="20"/>
          <w:szCs w:val="20"/>
        </w:rPr>
        <w:t>Chinese Journal of Aeronautics, 25</w:t>
      </w:r>
      <w:r>
        <w:rPr>
          <w:rFonts w:eastAsia="Times New Roman" w:cs="Times New Roman"/>
          <w:bCs/>
          <w:sz w:val="20"/>
          <w:szCs w:val="20"/>
        </w:rPr>
        <w:t>(1), 1–12. http://dx.doi.org/10.1016/S1000-9361(11)60356-7</w:t>
      </w:r>
    </w:p>
    <w:p w14:paraId="183F456B" w14:textId="77777777" w:rsidR="00E44580" w:rsidRDefault="00E44580">
      <w:pPr>
        <w:rPr>
          <w:sz w:val="20"/>
          <w:szCs w:val="20"/>
        </w:rPr>
      </w:pPr>
    </w:p>
    <w:sectPr w:rsidR="00E44580" w:rsidSect="00FB38D5">
      <w:headerReference w:type="even" r:id="rId24"/>
      <w:type w:val="continuous"/>
      <w:pgSz w:w="11900" w:h="16840"/>
      <w:pgMar w:top="1134" w:right="851" w:bottom="1134" w:left="1134" w:header="567" w:footer="851" w:gutter="0"/>
      <w:pgNumType w:start="63"/>
      <w:cols w:num="2"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9F165B" w14:textId="77777777" w:rsidR="006901E9" w:rsidRDefault="006901E9">
      <w:pPr>
        <w:spacing w:line="240" w:lineRule="auto"/>
      </w:pPr>
      <w:r>
        <w:separator/>
      </w:r>
    </w:p>
  </w:endnote>
  <w:endnote w:type="continuationSeparator" w:id="0">
    <w:p w14:paraId="1BE0D548" w14:textId="77777777" w:rsidR="006901E9" w:rsidRDefault="006901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A7EA1" w14:textId="5E0BF6F2" w:rsidR="00FB38D5" w:rsidRPr="00632B4B" w:rsidRDefault="006901E9" w:rsidP="00FB38D5">
    <w:pPr>
      <w:pStyle w:val="Footer"/>
      <w:tabs>
        <w:tab w:val="clear" w:pos="4680"/>
        <w:tab w:val="clear" w:pos="9360"/>
        <w:tab w:val="center" w:pos="1418"/>
        <w:tab w:val="left" w:pos="7088"/>
      </w:tabs>
      <w:rPr>
        <w:lang w:val="id-ID"/>
      </w:rPr>
    </w:pPr>
    <w:sdt>
      <w:sdtPr>
        <w:id w:val="-602332145"/>
        <w:docPartObj>
          <w:docPartGallery w:val="Page Numbers (Bottom of Page)"/>
          <w:docPartUnique/>
        </w:docPartObj>
      </w:sdtPr>
      <w:sdtEndPr/>
      <w:sdtContent>
        <w:r w:rsidR="00FB38D5">
          <w:fldChar w:fldCharType="begin"/>
        </w:r>
        <w:r w:rsidR="00FB38D5" w:rsidRPr="00632B4B">
          <w:rPr>
            <w:lang w:val="sv-SE"/>
          </w:rPr>
          <w:instrText>PAGE   \* MERGEFORMAT</w:instrText>
        </w:r>
        <w:r w:rsidR="00FB38D5">
          <w:fldChar w:fldCharType="separate"/>
        </w:r>
        <w:r w:rsidR="00FB38D5">
          <w:rPr>
            <w:lang w:val="id-ID"/>
          </w:rPr>
          <w:t>2</w:t>
        </w:r>
        <w:r w:rsidR="00FB38D5">
          <w:fldChar w:fldCharType="end"/>
        </w:r>
        <w:r w:rsidR="00FB38D5" w:rsidRPr="00632B4B">
          <w:rPr>
            <w:lang w:val="sv-SE"/>
          </w:rPr>
          <w:tab/>
        </w:r>
        <w:r w:rsidR="00FB38D5" w:rsidRPr="00632B4B">
          <w:rPr>
            <w:lang w:val="sv-SE"/>
          </w:rPr>
          <w:t>Gurning, et al.</w:t>
        </w:r>
      </w:sdtContent>
    </w:sdt>
    <w:r w:rsidR="00FB38D5" w:rsidRPr="00632B4B">
      <w:rPr>
        <w:lang w:val="sv-SE"/>
      </w:rPr>
      <w:tab/>
      <w:t>DOI:</w:t>
    </w:r>
    <w:r w:rsidR="00632B4B">
      <w:rPr>
        <w:lang w:val="id-ID"/>
      </w:rPr>
      <w:t xml:space="preserve"> </w:t>
    </w:r>
    <w:r w:rsidR="00632B4B" w:rsidRPr="00632B4B">
      <w:rPr>
        <w:lang w:val="id-ID"/>
      </w:rPr>
      <w:t>10.52330/jtm.v24i2.434</w:t>
    </w:r>
  </w:p>
  <w:p w14:paraId="4F6533A3" w14:textId="5EA2AD98" w:rsidR="00E44580" w:rsidRPr="00632B4B" w:rsidRDefault="00E44580">
    <w:pPr>
      <w:pStyle w:val="Footer"/>
      <w:ind w:right="360" w:firstLine="360"/>
      <w:rPr>
        <w:lang w:val="sv-S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A0FF7" w14:textId="292C0B47" w:rsidR="00FB38D5" w:rsidRPr="00632B4B" w:rsidRDefault="00FB38D5" w:rsidP="00FB38D5">
    <w:pPr>
      <w:pStyle w:val="Footer"/>
      <w:tabs>
        <w:tab w:val="clear" w:pos="4680"/>
        <w:tab w:val="clear" w:pos="9360"/>
        <w:tab w:val="left" w:pos="426"/>
        <w:tab w:val="center" w:pos="1701"/>
        <w:tab w:val="right" w:pos="8931"/>
        <w:tab w:val="right" w:pos="9915"/>
      </w:tabs>
      <w:jc w:val="left"/>
      <w:rPr>
        <w:lang w:val="sv-SE"/>
      </w:rPr>
    </w:pPr>
    <w:r>
      <w:tab/>
    </w:r>
    <w:r w:rsidRPr="00632B4B">
      <w:rPr>
        <w:lang w:val="sv-SE"/>
      </w:rPr>
      <w:t>DOI:</w:t>
    </w:r>
    <w:r w:rsidR="00632B4B">
      <w:rPr>
        <w:lang w:val="id-ID"/>
      </w:rPr>
      <w:t xml:space="preserve"> </w:t>
    </w:r>
    <w:r w:rsidR="00632B4B" w:rsidRPr="00632B4B">
      <w:rPr>
        <w:lang w:val="id-ID"/>
      </w:rPr>
      <w:t>10.52330/jtm.v24i2.434</w:t>
    </w:r>
    <w:r w:rsidRPr="00632B4B">
      <w:rPr>
        <w:lang w:val="sv-SE"/>
      </w:rPr>
      <w:tab/>
      <w:t xml:space="preserve"> Gurning, et al.</w:t>
    </w:r>
    <w:r w:rsidRPr="00632B4B">
      <w:rPr>
        <w:lang w:val="sv-SE"/>
      </w:rPr>
      <w:tab/>
    </w:r>
    <w:sdt>
      <w:sdtPr>
        <w:id w:val="134456603"/>
        <w:docPartObj>
          <w:docPartGallery w:val="Page Numbers (Bottom of Page)"/>
          <w:docPartUnique/>
        </w:docPartObj>
      </w:sdtPr>
      <w:sdtEndPr/>
      <w:sdtContent>
        <w:r>
          <w:fldChar w:fldCharType="begin"/>
        </w:r>
        <w:r w:rsidRPr="00632B4B">
          <w:rPr>
            <w:lang w:val="sv-SE"/>
          </w:rPr>
          <w:instrText>PAGE   \* MERGEFORMAT</w:instrText>
        </w:r>
        <w:r>
          <w:fldChar w:fldCharType="separate"/>
        </w:r>
        <w:r>
          <w:rPr>
            <w:lang w:val="id-ID"/>
          </w:rPr>
          <w:t>2</w:t>
        </w:r>
        <w:r>
          <w:fldChar w:fldCharType="end"/>
        </w:r>
      </w:sdtContent>
    </w:sdt>
  </w:p>
  <w:p w14:paraId="69B1EBF4" w14:textId="54EE218D" w:rsidR="00E44580" w:rsidRDefault="00E44580">
    <w:pPr>
      <w:pStyle w:val="Footer"/>
      <w:ind w:right="360" w:firstLine="360"/>
      <w:rPr>
        <w:lang w:val="id-ID"/>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9297393"/>
      <w:docPartObj>
        <w:docPartGallery w:val="Page Numbers (Bottom of Page)"/>
        <w:docPartUnique/>
      </w:docPartObj>
    </w:sdtPr>
    <w:sdtEndPr/>
    <w:sdtContent>
      <w:p w14:paraId="6BBB9CCF" w14:textId="77777777" w:rsidR="00FB38D5" w:rsidRDefault="00FB38D5">
        <w:pPr>
          <w:pStyle w:val="Footer"/>
        </w:pPr>
        <w:r>
          <w:fldChar w:fldCharType="begin"/>
        </w:r>
        <w:r>
          <w:instrText>PAGE   \* MERGEFORMAT</w:instrText>
        </w:r>
        <w:r>
          <w:fldChar w:fldCharType="separate"/>
        </w:r>
        <w:r>
          <w:rPr>
            <w:lang w:val="id-ID"/>
          </w:rPr>
          <w:t>2</w:t>
        </w:r>
        <w:r>
          <w:fldChar w:fldCharType="end"/>
        </w:r>
      </w:p>
      <w:p w14:paraId="254AA2AB" w14:textId="77777777" w:rsidR="00FB38D5" w:rsidRPr="007A1E65" w:rsidRDefault="00FB38D5" w:rsidP="00FB38D5">
        <w:pPr>
          <w:pBdr>
            <w:top w:val="nil"/>
            <w:left w:val="nil"/>
            <w:bottom w:val="nil"/>
            <w:right w:val="nil"/>
            <w:between w:val="nil"/>
          </w:pBdr>
          <w:tabs>
            <w:tab w:val="center" w:pos="4680"/>
            <w:tab w:val="right" w:pos="9360"/>
            <w:tab w:val="right" w:pos="9915"/>
          </w:tabs>
          <w:rPr>
            <w:color w:val="000000"/>
            <w:sz w:val="16"/>
            <w:szCs w:val="16"/>
          </w:rPr>
        </w:pPr>
        <w:r w:rsidRPr="007A1E65">
          <w:rPr>
            <w:color w:val="000000"/>
            <w:sz w:val="16"/>
            <w:szCs w:val="16"/>
          </w:rPr>
          <w:t>This is an open access article under the CC–BY-NC license</w:t>
        </w:r>
      </w:p>
      <w:p w14:paraId="7B74A3D8" w14:textId="3B4F481F" w:rsidR="00FB38D5" w:rsidRDefault="00FB38D5" w:rsidP="00FB38D5">
        <w:pPr>
          <w:pStyle w:val="Footer"/>
        </w:pPr>
        <w:r w:rsidRPr="007A1E65">
          <w:rPr>
            <w:noProof/>
            <w:color w:val="000000"/>
          </w:rPr>
          <w:drawing>
            <wp:inline distT="0" distB="0" distL="0" distR="0" wp14:anchorId="6B8EAA78" wp14:editId="5B2EBC4C">
              <wp:extent cx="695766" cy="243518"/>
              <wp:effectExtent l="0" t="0" r="0" b="0"/>
              <wp:docPr id="165836295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695766" cy="243518"/>
                      </a:xfrm>
                      <a:prstGeom prst="rect">
                        <a:avLst/>
                      </a:prstGeom>
                      <a:ln/>
                    </pic:spPr>
                  </pic:pic>
                </a:graphicData>
              </a:graphic>
            </wp:inline>
          </w:drawing>
        </w:r>
      </w:p>
    </w:sdtContent>
  </w:sdt>
  <w:p w14:paraId="395E9E70" w14:textId="43CF1C11" w:rsidR="00E44580" w:rsidRDefault="00E44580">
    <w:pPr>
      <w:pStyle w:val="Footer"/>
      <w:tabs>
        <w:tab w:val="clear" w:pos="9360"/>
        <w:tab w:val="right" w:pos="9915"/>
      </w:tabs>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A802DE" w14:textId="77777777" w:rsidR="006901E9" w:rsidRDefault="006901E9">
      <w:r>
        <w:separator/>
      </w:r>
    </w:p>
  </w:footnote>
  <w:footnote w:type="continuationSeparator" w:id="0">
    <w:p w14:paraId="592070F8" w14:textId="77777777" w:rsidR="006901E9" w:rsidRDefault="006901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EC765" w14:textId="77777777" w:rsidR="00E44580" w:rsidRDefault="00E71881">
    <w:pPr>
      <w:pStyle w:val="Header"/>
      <w:tabs>
        <w:tab w:val="clear" w:pos="4680"/>
        <w:tab w:val="clear" w:pos="9360"/>
      </w:tabs>
      <w:jc w:val="center"/>
    </w:pPr>
    <w:r>
      <w:rPr>
        <w:rFonts w:cs="Times New Roman"/>
        <w:smallCaps/>
        <w:color w:val="808080" w:themeColor="background1" w:themeShade="80"/>
        <w:sz w:val="13"/>
        <w:szCs w:val="15"/>
      </w:rPr>
      <w:fldChar w:fldCharType="begin"/>
    </w:r>
    <w:r>
      <w:rPr>
        <w:rFonts w:cs="Times New Roman"/>
        <w:smallCaps/>
        <w:color w:val="808080" w:themeColor="background1" w:themeShade="80"/>
        <w:sz w:val="13"/>
        <w:szCs w:val="15"/>
      </w:rPr>
      <w:instrText xml:space="preserve"> PAGE  \* MERGEFORMAT </w:instrText>
    </w:r>
    <w:r>
      <w:rPr>
        <w:rFonts w:cs="Times New Roman"/>
        <w:smallCaps/>
        <w:color w:val="808080" w:themeColor="background1" w:themeShade="80"/>
        <w:sz w:val="13"/>
        <w:szCs w:val="15"/>
      </w:rPr>
      <w:fldChar w:fldCharType="separate"/>
    </w:r>
    <w:r>
      <w:rPr>
        <w:rFonts w:cs="Times New Roman"/>
        <w:smallCaps/>
        <w:color w:val="808080" w:themeColor="background1" w:themeShade="80"/>
        <w:sz w:val="13"/>
        <w:szCs w:val="15"/>
      </w:rPr>
      <w:t>2</w:t>
    </w:r>
    <w:r>
      <w:rPr>
        <w:rFonts w:cs="Times New Roman"/>
        <w:smallCaps/>
        <w:color w:val="808080" w:themeColor="background1" w:themeShade="80"/>
        <w:sz w:val="13"/>
        <w:szCs w:val="15"/>
      </w:rPr>
      <w:fldChar w:fldCharType="end"/>
    </w:r>
    <w:r>
      <w:rPr>
        <w:rFonts w:cs="Times New Roman"/>
        <w:smallCaps/>
        <w:color w:val="808080" w:themeColor="background1" w:themeShade="80"/>
        <w:sz w:val="13"/>
        <w:szCs w:val="15"/>
      </w:rPr>
      <w:t xml:space="preserve">Jurnal </w:t>
    </w:r>
    <w:proofErr w:type="spellStart"/>
    <w:r>
      <w:rPr>
        <w:rFonts w:cs="Times New Roman"/>
        <w:smallCaps/>
        <w:color w:val="808080" w:themeColor="background1" w:themeShade="80"/>
        <w:sz w:val="13"/>
        <w:szCs w:val="15"/>
      </w:rPr>
      <w:t>Optimasi</w:t>
    </w:r>
    <w:proofErr w:type="spellEnd"/>
    <w:r>
      <w:rPr>
        <w:rFonts w:cs="Times New Roman"/>
        <w:smallCaps/>
        <w:color w:val="808080" w:themeColor="background1" w:themeShade="80"/>
        <w:sz w:val="13"/>
        <w:szCs w:val="15"/>
      </w:rPr>
      <w:t xml:space="preserve"> </w:t>
    </w:r>
    <w:proofErr w:type="spellStart"/>
    <w:r>
      <w:rPr>
        <w:rFonts w:cs="Times New Roman"/>
        <w:smallCaps/>
        <w:color w:val="808080" w:themeColor="background1" w:themeShade="80"/>
        <w:sz w:val="13"/>
        <w:szCs w:val="15"/>
      </w:rPr>
      <w:t>Sistem</w:t>
    </w:r>
    <w:proofErr w:type="spellEnd"/>
    <w:r>
      <w:rPr>
        <w:rFonts w:cs="Times New Roman"/>
        <w:smallCaps/>
        <w:color w:val="808080" w:themeColor="background1" w:themeShade="80"/>
        <w:sz w:val="13"/>
        <w:szCs w:val="15"/>
      </w:rPr>
      <w:t xml:space="preserve"> </w:t>
    </w:r>
    <w:proofErr w:type="spellStart"/>
    <w:r>
      <w:rPr>
        <w:rFonts w:cs="Times New Roman"/>
        <w:smallCaps/>
        <w:color w:val="808080" w:themeColor="background1" w:themeShade="80"/>
        <w:sz w:val="13"/>
        <w:szCs w:val="15"/>
      </w:rPr>
      <w:t>Industri</w:t>
    </w:r>
    <w:proofErr w:type="spellEnd"/>
    <w:r>
      <w:rPr>
        <w:rFonts w:cs="Times New Roman"/>
        <w:color w:val="808080" w:themeColor="background1" w:themeShade="80"/>
        <w:sz w:val="11"/>
      </w:rPr>
      <w:t xml:space="preserve"> </w:t>
    </w:r>
    <w:r>
      <w:rPr>
        <w:rFonts w:cs="Times New Roman"/>
        <w:color w:val="808080" w:themeColor="background1" w:themeShade="80"/>
        <w:sz w:val="13"/>
      </w:rPr>
      <w:t>- xx (2017) 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D998E" w14:textId="4185667D" w:rsidR="00E44580" w:rsidRPr="00632B4B" w:rsidRDefault="00F859E5">
    <w:pPr>
      <w:pStyle w:val="Header"/>
      <w:jc w:val="center"/>
      <w:rPr>
        <w:lang w:val="id-ID"/>
      </w:rPr>
    </w:pPr>
    <w:r>
      <w:rPr>
        <w:rFonts w:cs="Times New Roman"/>
        <w:smallCaps/>
        <w:color w:val="808080" w:themeColor="background1" w:themeShade="80"/>
        <w:sz w:val="13"/>
        <w:szCs w:val="15"/>
        <w:lang w:val="id-ID"/>
      </w:rPr>
      <w:t>Guring</w:t>
    </w:r>
    <w:r w:rsidR="00632B4B">
      <w:rPr>
        <w:rFonts w:cs="Times New Roman"/>
        <w:smallCaps/>
        <w:color w:val="808080" w:themeColor="background1" w:themeShade="80"/>
        <w:sz w:val="13"/>
        <w:szCs w:val="15"/>
        <w:lang w:val="id-ID"/>
      </w:rPr>
      <w:t xml:space="preserve">, </w:t>
    </w:r>
    <w:proofErr w:type="spellStart"/>
    <w:r w:rsidR="00632B4B">
      <w:rPr>
        <w:rFonts w:cs="Times New Roman"/>
        <w:smallCaps/>
        <w:color w:val="808080" w:themeColor="background1" w:themeShade="80"/>
        <w:sz w:val="13"/>
        <w:szCs w:val="15"/>
        <w:lang w:val="id-ID"/>
      </w:rPr>
      <w:t>et</w:t>
    </w:r>
    <w:proofErr w:type="spellEnd"/>
    <w:r w:rsidR="00632B4B">
      <w:rPr>
        <w:rFonts w:cs="Times New Roman"/>
        <w:smallCaps/>
        <w:color w:val="808080" w:themeColor="background1" w:themeShade="80"/>
        <w:sz w:val="13"/>
        <w:szCs w:val="15"/>
        <w:lang w:val="id-ID"/>
      </w:rPr>
      <w:t xml:space="preserve"> </w:t>
    </w:r>
    <w:proofErr w:type="spellStart"/>
    <w:r w:rsidR="00632B4B">
      <w:rPr>
        <w:rFonts w:cs="Times New Roman"/>
        <w:smallCaps/>
        <w:color w:val="808080" w:themeColor="background1" w:themeShade="80"/>
        <w:sz w:val="13"/>
        <w:szCs w:val="15"/>
        <w:lang w:val="id-ID"/>
      </w:rPr>
      <w:t>al</w:t>
    </w:r>
    <w:proofErr w:type="spellEnd"/>
    <w:r w:rsidRPr="00A67B29">
      <w:rPr>
        <w:rFonts w:cs="Times New Roman"/>
        <w:smallCaps/>
        <w:color w:val="808080" w:themeColor="background1" w:themeShade="80"/>
        <w:sz w:val="13"/>
        <w:szCs w:val="15"/>
        <w:lang w:val="sv-SE"/>
      </w:rPr>
      <w:t xml:space="preserve"> </w:t>
    </w:r>
    <w:r w:rsidR="00E71881" w:rsidRPr="00F859E5">
      <w:rPr>
        <w:rFonts w:cs="Times New Roman"/>
        <w:smallCaps/>
        <w:color w:val="808080" w:themeColor="background1" w:themeShade="80"/>
        <w:sz w:val="13"/>
        <w:szCs w:val="15"/>
        <w:lang w:val="sv-SE"/>
      </w:rPr>
      <w:t xml:space="preserve">/ </w:t>
    </w:r>
    <w:r w:rsidR="00E71881" w:rsidRPr="00F859E5">
      <w:rPr>
        <w:rFonts w:cs="Times New Roman"/>
        <w:smallCaps/>
        <w:color w:val="808080" w:themeColor="background1" w:themeShade="80"/>
        <w:sz w:val="13"/>
        <w:szCs w:val="13"/>
        <w:lang w:val="sv-SE"/>
      </w:rPr>
      <w:t xml:space="preserve">Jurnal Teknologi dan Manajemen </w:t>
    </w:r>
    <w:r w:rsidR="00E71881" w:rsidRPr="00F859E5">
      <w:rPr>
        <w:rFonts w:cs="Times New Roman"/>
        <w:smallCaps/>
        <w:color w:val="808080" w:themeColor="background1" w:themeShade="80"/>
        <w:sz w:val="13"/>
        <w:szCs w:val="15"/>
        <w:lang w:val="sv-SE"/>
      </w:rPr>
      <w:t xml:space="preserve">- Vol. </w:t>
    </w:r>
    <w:r>
      <w:rPr>
        <w:rFonts w:cs="Times New Roman"/>
        <w:smallCaps/>
        <w:color w:val="808080" w:themeColor="background1" w:themeShade="80"/>
        <w:sz w:val="13"/>
        <w:szCs w:val="15"/>
        <w:lang w:val="id-ID"/>
      </w:rPr>
      <w:t>24</w:t>
    </w:r>
    <w:r w:rsidR="00E71881" w:rsidRPr="00F859E5">
      <w:rPr>
        <w:rFonts w:cs="Times New Roman"/>
        <w:smallCaps/>
        <w:color w:val="808080" w:themeColor="background1" w:themeShade="80"/>
        <w:sz w:val="13"/>
        <w:szCs w:val="15"/>
        <w:lang w:val="sv-SE"/>
      </w:rPr>
      <w:t xml:space="preserve"> No. </w:t>
    </w:r>
    <w:r>
      <w:rPr>
        <w:rFonts w:cs="Times New Roman"/>
        <w:smallCaps/>
        <w:color w:val="808080" w:themeColor="background1" w:themeShade="80"/>
        <w:sz w:val="13"/>
        <w:szCs w:val="15"/>
        <w:lang w:val="id-ID"/>
      </w:rPr>
      <w:t>02</w:t>
    </w:r>
    <w:r w:rsidR="00E71881" w:rsidRPr="00F859E5">
      <w:rPr>
        <w:rFonts w:cs="Times New Roman"/>
        <w:smallCaps/>
        <w:color w:val="808080" w:themeColor="background1" w:themeShade="80"/>
        <w:sz w:val="13"/>
        <w:szCs w:val="15"/>
        <w:lang w:val="sv-SE"/>
      </w:rPr>
      <w:t xml:space="preserve"> (202</w:t>
    </w:r>
    <w:r>
      <w:rPr>
        <w:rFonts w:cs="Times New Roman"/>
        <w:smallCaps/>
        <w:color w:val="808080" w:themeColor="background1" w:themeShade="80"/>
        <w:sz w:val="13"/>
        <w:szCs w:val="15"/>
        <w:lang w:val="id-ID"/>
      </w:rPr>
      <w:t>6</w:t>
    </w:r>
    <w:r w:rsidR="00E71881" w:rsidRPr="00F859E5">
      <w:rPr>
        <w:rFonts w:cs="Times New Roman"/>
        <w:smallCaps/>
        <w:color w:val="808080" w:themeColor="background1" w:themeShade="80"/>
        <w:sz w:val="13"/>
        <w:szCs w:val="15"/>
        <w:lang w:val="sv-SE"/>
      </w:rPr>
      <w:t xml:space="preserve">) </w:t>
    </w:r>
    <w:r w:rsidR="00632B4B">
      <w:rPr>
        <w:rFonts w:cs="Times New Roman"/>
        <w:smallCaps/>
        <w:color w:val="808080" w:themeColor="background1" w:themeShade="80"/>
        <w:sz w:val="13"/>
        <w:szCs w:val="15"/>
        <w:lang w:val="id-ID"/>
      </w:rPr>
      <w:t>6</w:t>
    </w:r>
    <w:r>
      <w:rPr>
        <w:rFonts w:cs="Times New Roman"/>
        <w:smallCaps/>
        <w:color w:val="808080" w:themeColor="background1" w:themeShade="80"/>
        <w:sz w:val="13"/>
        <w:szCs w:val="15"/>
        <w:lang w:val="id-ID"/>
      </w:rPr>
      <w:t>2</w:t>
    </w:r>
    <w:r w:rsidR="00E71881" w:rsidRPr="00F859E5">
      <w:rPr>
        <w:rFonts w:cs="Times New Roman"/>
        <w:smallCaps/>
        <w:color w:val="808080" w:themeColor="background1" w:themeShade="80"/>
        <w:sz w:val="13"/>
        <w:szCs w:val="15"/>
        <w:lang w:val="sv-SE"/>
      </w:rPr>
      <w:t>-</w:t>
    </w:r>
    <w:r w:rsidR="00632B4B">
      <w:rPr>
        <w:rFonts w:cs="Times New Roman"/>
        <w:smallCaps/>
        <w:color w:val="808080" w:themeColor="background1" w:themeShade="80"/>
        <w:sz w:val="13"/>
        <w:szCs w:val="15"/>
        <w:lang w:val="id-ID"/>
      </w:rPr>
      <w:t>68</w:t>
    </w:r>
  </w:p>
  <w:p w14:paraId="0EB898D5" w14:textId="77777777" w:rsidR="00E44580" w:rsidRPr="00F859E5" w:rsidRDefault="00E44580">
    <w:pPr>
      <w:pStyle w:val="Header"/>
      <w:rPr>
        <w:lang w:val="sv-S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0"/>
      <w:gridCol w:w="8868"/>
    </w:tblGrid>
    <w:tr w:rsidR="00E44580" w:rsidRPr="00632B4B" w14:paraId="2736F051" w14:textId="77777777">
      <w:trPr>
        <w:trHeight w:val="276"/>
      </w:trPr>
      <w:tc>
        <w:tcPr>
          <w:tcW w:w="9928" w:type="dxa"/>
          <w:gridSpan w:val="2"/>
        </w:tcPr>
        <w:p w14:paraId="7FF64EB8" w14:textId="0224641F" w:rsidR="00E44580" w:rsidRPr="00632B4B" w:rsidRDefault="00E71881">
          <w:pPr>
            <w:pStyle w:val="Header"/>
            <w:jc w:val="center"/>
            <w:rPr>
              <w:rFonts w:cs="Times New Roman"/>
              <w:smallCaps/>
              <w:color w:val="808080" w:themeColor="background1" w:themeShade="80"/>
              <w:sz w:val="13"/>
              <w:szCs w:val="13"/>
              <w:lang w:val="id-ID"/>
            </w:rPr>
          </w:pPr>
          <w:r w:rsidRPr="00A67B29">
            <w:rPr>
              <w:rFonts w:cs="Times New Roman"/>
              <w:smallCaps/>
              <w:color w:val="808080" w:themeColor="background1" w:themeShade="80"/>
              <w:sz w:val="13"/>
              <w:szCs w:val="13"/>
              <w:lang w:val="sv-SE"/>
            </w:rPr>
            <w:t xml:space="preserve">Jurnal Teknologi dan Manajemen - Vol. </w:t>
          </w:r>
          <w:r w:rsidR="00A67B29">
            <w:rPr>
              <w:rFonts w:cs="Times New Roman"/>
              <w:smallCaps/>
              <w:color w:val="808080" w:themeColor="background1" w:themeShade="80"/>
              <w:sz w:val="13"/>
              <w:szCs w:val="13"/>
              <w:lang w:val="id-ID"/>
            </w:rPr>
            <w:t>24</w:t>
          </w:r>
          <w:r w:rsidRPr="00A67B29">
            <w:rPr>
              <w:rFonts w:cs="Times New Roman"/>
              <w:smallCaps/>
              <w:color w:val="808080" w:themeColor="background1" w:themeShade="80"/>
              <w:sz w:val="13"/>
              <w:szCs w:val="13"/>
              <w:lang w:val="sv-SE"/>
            </w:rPr>
            <w:t xml:space="preserve"> No. </w:t>
          </w:r>
          <w:r w:rsidR="00A67B29">
            <w:rPr>
              <w:rFonts w:cs="Times New Roman"/>
              <w:smallCaps/>
              <w:color w:val="808080" w:themeColor="background1" w:themeShade="80"/>
              <w:sz w:val="13"/>
              <w:szCs w:val="13"/>
              <w:lang w:val="id-ID"/>
            </w:rPr>
            <w:t>02</w:t>
          </w:r>
          <w:r w:rsidRPr="00A67B29">
            <w:rPr>
              <w:rFonts w:cs="Times New Roman"/>
              <w:smallCaps/>
              <w:color w:val="808080" w:themeColor="background1" w:themeShade="80"/>
              <w:sz w:val="13"/>
              <w:szCs w:val="13"/>
              <w:lang w:val="sv-SE"/>
            </w:rPr>
            <w:t xml:space="preserve"> </w:t>
          </w:r>
          <w:r w:rsidRPr="00A67B29">
            <w:rPr>
              <w:rFonts w:cs="Times New Roman"/>
              <w:smallCaps/>
              <w:color w:val="808080" w:themeColor="background1" w:themeShade="80"/>
              <w:sz w:val="13"/>
              <w:szCs w:val="13"/>
              <w:lang w:val="sv-SE"/>
            </w:rPr>
            <w:t>(202</w:t>
          </w:r>
          <w:r w:rsidR="00A67B29">
            <w:rPr>
              <w:rFonts w:cs="Times New Roman"/>
              <w:smallCaps/>
              <w:color w:val="808080" w:themeColor="background1" w:themeShade="80"/>
              <w:sz w:val="13"/>
              <w:szCs w:val="13"/>
              <w:lang w:val="id-ID"/>
            </w:rPr>
            <w:t>6</w:t>
          </w:r>
          <w:r w:rsidRPr="00A67B29">
            <w:rPr>
              <w:rFonts w:cs="Times New Roman"/>
              <w:smallCaps/>
              <w:color w:val="808080" w:themeColor="background1" w:themeShade="80"/>
              <w:sz w:val="13"/>
              <w:szCs w:val="13"/>
              <w:lang w:val="sv-SE"/>
            </w:rPr>
            <w:t xml:space="preserve">) </w:t>
          </w:r>
          <w:r w:rsidR="00632B4B">
            <w:rPr>
              <w:rFonts w:cs="Times New Roman"/>
              <w:smallCaps/>
              <w:color w:val="808080" w:themeColor="background1" w:themeShade="80"/>
              <w:sz w:val="13"/>
              <w:szCs w:val="13"/>
              <w:lang w:val="id-ID"/>
            </w:rPr>
            <w:t>6</w:t>
          </w:r>
          <w:r w:rsidR="00A67B29">
            <w:rPr>
              <w:rFonts w:cs="Times New Roman"/>
              <w:smallCaps/>
              <w:color w:val="808080" w:themeColor="background1" w:themeShade="80"/>
              <w:sz w:val="13"/>
              <w:szCs w:val="13"/>
              <w:lang w:val="id-ID"/>
            </w:rPr>
            <w:t>2</w:t>
          </w:r>
          <w:r w:rsidRPr="00A67B29">
            <w:rPr>
              <w:rFonts w:cs="Times New Roman"/>
              <w:smallCaps/>
              <w:color w:val="808080" w:themeColor="background1" w:themeShade="80"/>
              <w:sz w:val="13"/>
              <w:szCs w:val="13"/>
              <w:lang w:val="sv-SE"/>
            </w:rPr>
            <w:t>-</w:t>
          </w:r>
          <w:r w:rsidR="00632B4B">
            <w:rPr>
              <w:rFonts w:cs="Times New Roman"/>
              <w:smallCaps/>
              <w:color w:val="808080" w:themeColor="background1" w:themeShade="80"/>
              <w:sz w:val="13"/>
              <w:szCs w:val="13"/>
              <w:lang w:val="id-ID"/>
            </w:rPr>
            <w:t>68</w:t>
          </w:r>
        </w:p>
      </w:tc>
    </w:tr>
    <w:tr w:rsidR="00E44580" w:rsidRPr="00632B4B" w14:paraId="0EA182B2" w14:textId="77777777">
      <w:trPr>
        <w:trHeight w:val="140"/>
      </w:trPr>
      <w:tc>
        <w:tcPr>
          <w:tcW w:w="9928" w:type="dxa"/>
          <w:gridSpan w:val="2"/>
        </w:tcPr>
        <w:p w14:paraId="01AE167E" w14:textId="77777777" w:rsidR="00E44580" w:rsidRPr="00A67B29" w:rsidRDefault="00E44580">
          <w:pPr>
            <w:pStyle w:val="Header"/>
            <w:jc w:val="center"/>
            <w:rPr>
              <w:rFonts w:cs="Times New Roman"/>
              <w:color w:val="808080" w:themeColor="background1" w:themeShade="80"/>
              <w:sz w:val="13"/>
              <w:lang w:val="sv-SE"/>
            </w:rPr>
          </w:pPr>
        </w:p>
      </w:tc>
    </w:tr>
    <w:tr w:rsidR="00E44580" w:rsidRPr="00632B4B" w14:paraId="221355D6" w14:textId="77777777">
      <w:trPr>
        <w:trHeight w:val="1101"/>
      </w:trPr>
      <w:tc>
        <w:tcPr>
          <w:tcW w:w="1060" w:type="dxa"/>
          <w:vAlign w:val="center"/>
        </w:tcPr>
        <w:p w14:paraId="651F8C81" w14:textId="77777777" w:rsidR="00E44580" w:rsidRPr="00A67B29" w:rsidRDefault="00E71881">
          <w:pPr>
            <w:pStyle w:val="Header"/>
            <w:jc w:val="center"/>
            <w:rPr>
              <w:lang w:val="sv-SE"/>
            </w:rPr>
          </w:pPr>
          <w:r>
            <w:rPr>
              <w:noProof/>
              <w:lang w:val="id-ID" w:eastAsia="id-ID"/>
            </w:rPr>
            <w:drawing>
              <wp:anchor distT="0" distB="0" distL="114300" distR="114300" simplePos="0" relativeHeight="251659264" behindDoc="0" locked="0" layoutInCell="1" allowOverlap="1" wp14:anchorId="6B7955FE" wp14:editId="28E4E27E">
                <wp:simplePos x="0" y="0"/>
                <wp:positionH relativeFrom="column">
                  <wp:posOffset>-50800</wp:posOffset>
                </wp:positionH>
                <wp:positionV relativeFrom="page">
                  <wp:posOffset>51435</wp:posOffset>
                </wp:positionV>
                <wp:extent cx="569595" cy="638175"/>
                <wp:effectExtent l="0" t="0" r="190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69595" cy="638175"/>
                        </a:xfrm>
                        <a:prstGeom prst="rect">
                          <a:avLst/>
                        </a:prstGeom>
                      </pic:spPr>
                    </pic:pic>
                  </a:graphicData>
                </a:graphic>
              </wp:anchor>
            </w:drawing>
          </w:r>
        </w:p>
      </w:tc>
      <w:tc>
        <w:tcPr>
          <w:tcW w:w="8868" w:type="dxa"/>
          <w:shd w:val="clear" w:color="auto" w:fill="DEEAF6" w:themeFill="accent1" w:themeFillTint="33"/>
          <w:vAlign w:val="center"/>
        </w:tcPr>
        <w:p w14:paraId="065E174B" w14:textId="77777777" w:rsidR="00E44580" w:rsidRPr="00A67B29" w:rsidRDefault="00E71881">
          <w:pPr>
            <w:pStyle w:val="Header"/>
            <w:spacing w:before="120" w:after="120"/>
            <w:jc w:val="center"/>
            <w:rPr>
              <w:rFonts w:cs="Times New Roman"/>
              <w:b/>
              <w:sz w:val="32"/>
              <w:lang w:val="sv-SE"/>
            </w:rPr>
          </w:pPr>
          <w:r w:rsidRPr="00A67B29">
            <w:rPr>
              <w:rFonts w:cs="Times New Roman"/>
              <w:b/>
              <w:sz w:val="28"/>
              <w:lang w:val="sv-SE"/>
            </w:rPr>
            <w:t>Jurnal Teknologi dan Manajemen</w:t>
          </w:r>
        </w:p>
        <w:p w14:paraId="62B05755" w14:textId="77777777" w:rsidR="00E44580" w:rsidRPr="00A67B29" w:rsidRDefault="00E71881">
          <w:pPr>
            <w:pStyle w:val="Header"/>
            <w:jc w:val="center"/>
            <w:rPr>
              <w:lang w:val="sv-SE"/>
            </w:rPr>
          </w:pPr>
          <w:r w:rsidRPr="00A67B29">
            <w:rPr>
              <w:rStyle w:val="Hyperlink"/>
              <w:rFonts w:cs="Times New Roman"/>
              <w:color w:val="auto"/>
              <w:sz w:val="13"/>
              <w:u w:val="none"/>
              <w:lang w:val="sv-SE"/>
            </w:rPr>
            <w:t xml:space="preserve">   ISSN (Print) 1693-2285   ISSN (Online) 2808-9995</w:t>
          </w:r>
        </w:p>
      </w:tc>
    </w:tr>
    <w:tr w:rsidR="00E44580" w:rsidRPr="00632B4B" w14:paraId="1376CDA5" w14:textId="77777777">
      <w:trPr>
        <w:trHeight w:val="97"/>
      </w:trPr>
      <w:tc>
        <w:tcPr>
          <w:tcW w:w="9928" w:type="dxa"/>
          <w:gridSpan w:val="2"/>
        </w:tcPr>
        <w:p w14:paraId="5AD0B32E" w14:textId="77777777" w:rsidR="00E44580" w:rsidRPr="00A67B29" w:rsidRDefault="00E44580">
          <w:pPr>
            <w:pStyle w:val="Header"/>
            <w:rPr>
              <w:sz w:val="6"/>
              <w:lang w:val="sv-SE"/>
            </w:rPr>
          </w:pPr>
        </w:p>
      </w:tc>
    </w:tr>
  </w:tbl>
  <w:p w14:paraId="4FBBF5ED" w14:textId="77777777" w:rsidR="00E44580" w:rsidRPr="00A67B29" w:rsidRDefault="00E44580">
    <w:pPr>
      <w:pStyle w:val="Header"/>
      <w:rPr>
        <w:lang w:val="sv-SE"/>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1D8AB" w14:textId="307947FB" w:rsidR="00E44580" w:rsidRPr="00F859E5" w:rsidRDefault="00E71881">
    <w:pPr>
      <w:pStyle w:val="Header"/>
      <w:jc w:val="center"/>
      <w:rPr>
        <w:lang w:val="id-ID"/>
      </w:rPr>
    </w:pPr>
    <w:r>
      <w:rPr>
        <w:rFonts w:cs="Times New Roman"/>
        <w:smallCaps/>
        <w:color w:val="808080" w:themeColor="background1" w:themeShade="80"/>
        <w:sz w:val="13"/>
        <w:szCs w:val="15"/>
        <w:lang w:val="id-ID"/>
      </w:rPr>
      <w:t>Guring</w:t>
    </w:r>
    <w:r w:rsidR="00632B4B">
      <w:rPr>
        <w:rFonts w:cs="Times New Roman"/>
        <w:smallCaps/>
        <w:color w:val="808080" w:themeColor="background1" w:themeShade="80"/>
        <w:sz w:val="13"/>
        <w:szCs w:val="15"/>
        <w:lang w:val="id-ID"/>
      </w:rPr>
      <w:t xml:space="preserve">, </w:t>
    </w:r>
    <w:proofErr w:type="spellStart"/>
    <w:r w:rsidR="00632B4B">
      <w:rPr>
        <w:rFonts w:cs="Times New Roman"/>
        <w:smallCaps/>
        <w:color w:val="808080" w:themeColor="background1" w:themeShade="80"/>
        <w:sz w:val="13"/>
        <w:szCs w:val="15"/>
        <w:lang w:val="id-ID"/>
      </w:rPr>
      <w:t>et</w:t>
    </w:r>
    <w:proofErr w:type="spellEnd"/>
    <w:r w:rsidR="00632B4B">
      <w:rPr>
        <w:rFonts w:cs="Times New Roman"/>
        <w:smallCaps/>
        <w:color w:val="808080" w:themeColor="background1" w:themeShade="80"/>
        <w:sz w:val="13"/>
        <w:szCs w:val="15"/>
        <w:lang w:val="id-ID"/>
      </w:rPr>
      <w:t xml:space="preserve"> al</w:t>
    </w:r>
    <w:r w:rsidRPr="00A67B29">
      <w:rPr>
        <w:rFonts w:cs="Times New Roman"/>
        <w:smallCaps/>
        <w:color w:val="808080" w:themeColor="background1" w:themeShade="80"/>
        <w:sz w:val="13"/>
        <w:szCs w:val="15"/>
        <w:lang w:val="sv-SE"/>
      </w:rPr>
      <w:t xml:space="preserve"> / </w:t>
    </w:r>
    <w:r w:rsidRPr="00A67B29">
      <w:rPr>
        <w:rFonts w:cs="Times New Roman"/>
        <w:smallCaps/>
        <w:color w:val="808080" w:themeColor="background1" w:themeShade="80"/>
        <w:sz w:val="13"/>
        <w:szCs w:val="13"/>
        <w:lang w:val="sv-SE"/>
      </w:rPr>
      <w:t xml:space="preserve">Jurnal Teknologi dan Manajemen </w:t>
    </w:r>
    <w:r w:rsidRPr="00A67B29">
      <w:rPr>
        <w:rFonts w:cs="Times New Roman"/>
        <w:smallCaps/>
        <w:color w:val="808080" w:themeColor="background1" w:themeShade="80"/>
        <w:sz w:val="13"/>
        <w:szCs w:val="15"/>
        <w:lang w:val="sv-SE"/>
      </w:rPr>
      <w:t xml:space="preserve">- Vol. </w:t>
    </w:r>
    <w:r w:rsidR="00F859E5">
      <w:rPr>
        <w:rFonts w:cs="Times New Roman"/>
        <w:smallCaps/>
        <w:color w:val="808080" w:themeColor="background1" w:themeShade="80"/>
        <w:sz w:val="13"/>
        <w:szCs w:val="15"/>
        <w:lang w:val="id-ID"/>
      </w:rPr>
      <w:t>24</w:t>
    </w:r>
    <w:r w:rsidRPr="00F859E5">
      <w:rPr>
        <w:rFonts w:cs="Times New Roman"/>
        <w:smallCaps/>
        <w:color w:val="808080" w:themeColor="background1" w:themeShade="80"/>
        <w:sz w:val="13"/>
        <w:szCs w:val="15"/>
        <w:lang w:val="sv-SE"/>
      </w:rPr>
      <w:t xml:space="preserve"> No. </w:t>
    </w:r>
    <w:r w:rsidR="00F859E5">
      <w:rPr>
        <w:rFonts w:cs="Times New Roman"/>
        <w:smallCaps/>
        <w:color w:val="808080" w:themeColor="background1" w:themeShade="80"/>
        <w:sz w:val="13"/>
        <w:szCs w:val="15"/>
        <w:lang w:val="id-ID"/>
      </w:rPr>
      <w:t>02</w:t>
    </w:r>
    <w:r w:rsidRPr="00F859E5">
      <w:rPr>
        <w:rFonts w:cs="Times New Roman"/>
        <w:smallCaps/>
        <w:color w:val="808080" w:themeColor="background1" w:themeShade="80"/>
        <w:sz w:val="13"/>
        <w:szCs w:val="15"/>
        <w:lang w:val="sv-SE"/>
      </w:rPr>
      <w:t xml:space="preserve"> (202</w:t>
    </w:r>
    <w:r w:rsidR="00F859E5">
      <w:rPr>
        <w:rFonts w:cs="Times New Roman"/>
        <w:smallCaps/>
        <w:color w:val="808080" w:themeColor="background1" w:themeShade="80"/>
        <w:sz w:val="13"/>
        <w:szCs w:val="15"/>
        <w:lang w:val="id-ID"/>
      </w:rPr>
      <w:t>6</w:t>
    </w:r>
    <w:r w:rsidRPr="00F859E5">
      <w:rPr>
        <w:rFonts w:cs="Times New Roman"/>
        <w:smallCaps/>
        <w:color w:val="808080" w:themeColor="background1" w:themeShade="80"/>
        <w:sz w:val="13"/>
        <w:szCs w:val="15"/>
        <w:lang w:val="sv-SE"/>
      </w:rPr>
      <w:t xml:space="preserve">) </w:t>
    </w:r>
    <w:r w:rsidR="00632B4B">
      <w:rPr>
        <w:rFonts w:cs="Times New Roman"/>
        <w:smallCaps/>
        <w:color w:val="808080" w:themeColor="background1" w:themeShade="80"/>
        <w:sz w:val="13"/>
        <w:szCs w:val="15"/>
        <w:lang w:val="id-ID"/>
      </w:rPr>
      <w:t>6</w:t>
    </w:r>
    <w:r w:rsidR="00F859E5">
      <w:rPr>
        <w:rFonts w:cs="Times New Roman"/>
        <w:smallCaps/>
        <w:color w:val="808080" w:themeColor="background1" w:themeShade="80"/>
        <w:sz w:val="13"/>
        <w:szCs w:val="15"/>
        <w:lang w:val="id-ID"/>
      </w:rPr>
      <w:t>2</w:t>
    </w:r>
    <w:r w:rsidRPr="00F859E5">
      <w:rPr>
        <w:rFonts w:cs="Times New Roman"/>
        <w:smallCaps/>
        <w:color w:val="808080" w:themeColor="background1" w:themeShade="80"/>
        <w:sz w:val="13"/>
        <w:szCs w:val="15"/>
        <w:lang w:val="sv-SE"/>
      </w:rPr>
      <w:t>-</w:t>
    </w:r>
    <w:r w:rsidR="00632B4B">
      <w:rPr>
        <w:rFonts w:cs="Times New Roman"/>
        <w:smallCaps/>
        <w:color w:val="808080" w:themeColor="background1" w:themeShade="80"/>
        <w:sz w:val="13"/>
        <w:szCs w:val="15"/>
        <w:lang w:val="id-ID"/>
      </w:rPr>
      <w:t>68</w:t>
    </w:r>
  </w:p>
  <w:p w14:paraId="6AA1EC43" w14:textId="77777777" w:rsidR="00E44580" w:rsidRPr="00F859E5" w:rsidRDefault="00E44580">
    <w:pPr>
      <w:pStyle w:val="Header"/>
      <w:rPr>
        <w:lang w:val="sv-S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D0107"/>
    <w:multiLevelType w:val="multilevel"/>
    <w:tmpl w:val="04AD0107"/>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 w15:restartNumberingAfterBreak="0">
    <w:nsid w:val="2C3A7972"/>
    <w:multiLevelType w:val="multilevel"/>
    <w:tmpl w:val="2C3A7972"/>
    <w:lvl w:ilvl="0">
      <w:start w:val="1"/>
      <w:numFmt w:val="decimal"/>
      <w:pStyle w:val="Heading1"/>
      <w:lvlText w:val="%1."/>
      <w:lvlJc w:val="left"/>
      <w:pPr>
        <w:ind w:left="360" w:hanging="360"/>
      </w:pPr>
    </w:lvl>
    <w:lvl w:ilvl="1">
      <w:start w:val="1"/>
      <w:numFmt w:val="decimal"/>
      <w:pStyle w:val="Heading2"/>
      <w:lvlText w:val="%1.%2."/>
      <w:lvlJc w:val="left"/>
      <w:pPr>
        <w:ind w:left="2274"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572F3B"/>
    <w:multiLevelType w:val="multilevel"/>
    <w:tmpl w:val="46572F3B"/>
    <w:lvl w:ilvl="0">
      <w:start w:val="1"/>
      <w:numFmt w:val="bullet"/>
      <w:lvlText w:val="●"/>
      <w:lvlJc w:val="left"/>
      <w:pPr>
        <w:ind w:left="648"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pStyle w:val="Heading4"/>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DB65FB7"/>
    <w:multiLevelType w:val="multilevel"/>
    <w:tmpl w:val="5DB65FB7"/>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U2sjA2NjcxNDG2MDRU0lEKTi0uzszPAykwrgUACM9WjywAAAA="/>
  </w:docVars>
  <w:rsids>
    <w:rsidRoot w:val="00F94815"/>
    <w:rsid w:val="00005E9A"/>
    <w:rsid w:val="000068BB"/>
    <w:rsid w:val="00007316"/>
    <w:rsid w:val="0001439B"/>
    <w:rsid w:val="00015FB6"/>
    <w:rsid w:val="00035BCD"/>
    <w:rsid w:val="00052457"/>
    <w:rsid w:val="000579B9"/>
    <w:rsid w:val="000611B1"/>
    <w:rsid w:val="00066D48"/>
    <w:rsid w:val="00070035"/>
    <w:rsid w:val="00070193"/>
    <w:rsid w:val="00074D88"/>
    <w:rsid w:val="00084DA2"/>
    <w:rsid w:val="00092F0B"/>
    <w:rsid w:val="00093CFF"/>
    <w:rsid w:val="000952D3"/>
    <w:rsid w:val="000B1DBA"/>
    <w:rsid w:val="000B2C3A"/>
    <w:rsid w:val="000B74FA"/>
    <w:rsid w:val="000C01AA"/>
    <w:rsid w:val="000C3B27"/>
    <w:rsid w:val="000D24FA"/>
    <w:rsid w:val="000E0258"/>
    <w:rsid w:val="000E219A"/>
    <w:rsid w:val="000E3FBF"/>
    <w:rsid w:val="000F0688"/>
    <w:rsid w:val="000F2ED5"/>
    <w:rsid w:val="000F3CEB"/>
    <w:rsid w:val="00112A22"/>
    <w:rsid w:val="00124635"/>
    <w:rsid w:val="00132955"/>
    <w:rsid w:val="001415BD"/>
    <w:rsid w:val="00143BD2"/>
    <w:rsid w:val="00146C03"/>
    <w:rsid w:val="0014727F"/>
    <w:rsid w:val="00163A3F"/>
    <w:rsid w:val="001675A6"/>
    <w:rsid w:val="001702B9"/>
    <w:rsid w:val="0017086A"/>
    <w:rsid w:val="0017338C"/>
    <w:rsid w:val="0018420E"/>
    <w:rsid w:val="00185421"/>
    <w:rsid w:val="00191C2F"/>
    <w:rsid w:val="00193642"/>
    <w:rsid w:val="00197FAF"/>
    <w:rsid w:val="001A0587"/>
    <w:rsid w:val="001B08A8"/>
    <w:rsid w:val="001B67C8"/>
    <w:rsid w:val="001C00C2"/>
    <w:rsid w:val="001C2905"/>
    <w:rsid w:val="001D204F"/>
    <w:rsid w:val="001D3E1E"/>
    <w:rsid w:val="001D74D5"/>
    <w:rsid w:val="001D774D"/>
    <w:rsid w:val="001F6096"/>
    <w:rsid w:val="001F663A"/>
    <w:rsid w:val="0020458C"/>
    <w:rsid w:val="002066AC"/>
    <w:rsid w:val="00211D3C"/>
    <w:rsid w:val="002122FF"/>
    <w:rsid w:val="002233D3"/>
    <w:rsid w:val="00234258"/>
    <w:rsid w:val="00246424"/>
    <w:rsid w:val="00247C7B"/>
    <w:rsid w:val="00252FF6"/>
    <w:rsid w:val="002628E8"/>
    <w:rsid w:val="0026415B"/>
    <w:rsid w:val="00271758"/>
    <w:rsid w:val="00272DC6"/>
    <w:rsid w:val="00282CB7"/>
    <w:rsid w:val="00285865"/>
    <w:rsid w:val="00291228"/>
    <w:rsid w:val="0029228F"/>
    <w:rsid w:val="00294EE9"/>
    <w:rsid w:val="002A178F"/>
    <w:rsid w:val="002C306A"/>
    <w:rsid w:val="002C5DE1"/>
    <w:rsid w:val="002D048B"/>
    <w:rsid w:val="002D5654"/>
    <w:rsid w:val="002E339A"/>
    <w:rsid w:val="002E639A"/>
    <w:rsid w:val="002F0445"/>
    <w:rsid w:val="002F6156"/>
    <w:rsid w:val="00300F23"/>
    <w:rsid w:val="00303ACB"/>
    <w:rsid w:val="00312138"/>
    <w:rsid w:val="00313D5F"/>
    <w:rsid w:val="00317952"/>
    <w:rsid w:val="00321C9B"/>
    <w:rsid w:val="00323032"/>
    <w:rsid w:val="00325552"/>
    <w:rsid w:val="00326463"/>
    <w:rsid w:val="003364C6"/>
    <w:rsid w:val="00336ED7"/>
    <w:rsid w:val="0034186B"/>
    <w:rsid w:val="00341A0D"/>
    <w:rsid w:val="003420DD"/>
    <w:rsid w:val="00343797"/>
    <w:rsid w:val="00350EEE"/>
    <w:rsid w:val="00352BD6"/>
    <w:rsid w:val="00356858"/>
    <w:rsid w:val="003609F6"/>
    <w:rsid w:val="00360D4D"/>
    <w:rsid w:val="003754DA"/>
    <w:rsid w:val="00376A9F"/>
    <w:rsid w:val="003855E8"/>
    <w:rsid w:val="00390270"/>
    <w:rsid w:val="003934B8"/>
    <w:rsid w:val="003A0B3F"/>
    <w:rsid w:val="003A5DA4"/>
    <w:rsid w:val="003B0FB3"/>
    <w:rsid w:val="003C226F"/>
    <w:rsid w:val="003C494E"/>
    <w:rsid w:val="003D39FF"/>
    <w:rsid w:val="003E1D17"/>
    <w:rsid w:val="003E43EF"/>
    <w:rsid w:val="003F3F13"/>
    <w:rsid w:val="003F42CA"/>
    <w:rsid w:val="003F4410"/>
    <w:rsid w:val="0040284B"/>
    <w:rsid w:val="004057E6"/>
    <w:rsid w:val="00405CA9"/>
    <w:rsid w:val="004111BF"/>
    <w:rsid w:val="00413AF5"/>
    <w:rsid w:val="004143C8"/>
    <w:rsid w:val="00415688"/>
    <w:rsid w:val="00415A10"/>
    <w:rsid w:val="004169B4"/>
    <w:rsid w:val="00417649"/>
    <w:rsid w:val="0042365F"/>
    <w:rsid w:val="004279DA"/>
    <w:rsid w:val="004356F6"/>
    <w:rsid w:val="004364DE"/>
    <w:rsid w:val="004527D9"/>
    <w:rsid w:val="00460C90"/>
    <w:rsid w:val="00463605"/>
    <w:rsid w:val="00466A9D"/>
    <w:rsid w:val="00482132"/>
    <w:rsid w:val="00483010"/>
    <w:rsid w:val="00483227"/>
    <w:rsid w:val="00487513"/>
    <w:rsid w:val="004938C6"/>
    <w:rsid w:val="004D23AC"/>
    <w:rsid w:val="004D5B13"/>
    <w:rsid w:val="004E0E80"/>
    <w:rsid w:val="004E230E"/>
    <w:rsid w:val="004E6AF5"/>
    <w:rsid w:val="004F1B57"/>
    <w:rsid w:val="004F3DCD"/>
    <w:rsid w:val="00502029"/>
    <w:rsid w:val="00506ECF"/>
    <w:rsid w:val="00511A3F"/>
    <w:rsid w:val="005150F3"/>
    <w:rsid w:val="00516C0E"/>
    <w:rsid w:val="005228A2"/>
    <w:rsid w:val="00532FEF"/>
    <w:rsid w:val="00534621"/>
    <w:rsid w:val="00547767"/>
    <w:rsid w:val="00547A23"/>
    <w:rsid w:val="00547EED"/>
    <w:rsid w:val="00567934"/>
    <w:rsid w:val="00571A35"/>
    <w:rsid w:val="005741F6"/>
    <w:rsid w:val="00576345"/>
    <w:rsid w:val="0057668F"/>
    <w:rsid w:val="005773F8"/>
    <w:rsid w:val="005824FE"/>
    <w:rsid w:val="005863FB"/>
    <w:rsid w:val="00587578"/>
    <w:rsid w:val="00595BC4"/>
    <w:rsid w:val="00596CB5"/>
    <w:rsid w:val="005A3270"/>
    <w:rsid w:val="005B0CEC"/>
    <w:rsid w:val="005B3AD1"/>
    <w:rsid w:val="005C1634"/>
    <w:rsid w:val="005C166E"/>
    <w:rsid w:val="005D4143"/>
    <w:rsid w:val="005D4A61"/>
    <w:rsid w:val="005D6E58"/>
    <w:rsid w:val="005E2BE3"/>
    <w:rsid w:val="00601339"/>
    <w:rsid w:val="00611097"/>
    <w:rsid w:val="00612A25"/>
    <w:rsid w:val="00614C5D"/>
    <w:rsid w:val="00614CAC"/>
    <w:rsid w:val="00626867"/>
    <w:rsid w:val="00632B4B"/>
    <w:rsid w:val="00636202"/>
    <w:rsid w:val="006421F8"/>
    <w:rsid w:val="00643A4C"/>
    <w:rsid w:val="006479F8"/>
    <w:rsid w:val="0065235A"/>
    <w:rsid w:val="00653CA0"/>
    <w:rsid w:val="00657049"/>
    <w:rsid w:val="00662706"/>
    <w:rsid w:val="00662E8B"/>
    <w:rsid w:val="00666412"/>
    <w:rsid w:val="00667523"/>
    <w:rsid w:val="00677457"/>
    <w:rsid w:val="00677DF6"/>
    <w:rsid w:val="006803E0"/>
    <w:rsid w:val="00682689"/>
    <w:rsid w:val="00683A6E"/>
    <w:rsid w:val="00684667"/>
    <w:rsid w:val="00685E3E"/>
    <w:rsid w:val="006901E9"/>
    <w:rsid w:val="00691A52"/>
    <w:rsid w:val="00691B5B"/>
    <w:rsid w:val="0069429B"/>
    <w:rsid w:val="00695232"/>
    <w:rsid w:val="00696EF2"/>
    <w:rsid w:val="006B0BB3"/>
    <w:rsid w:val="006B34E2"/>
    <w:rsid w:val="006B620A"/>
    <w:rsid w:val="006B6EB3"/>
    <w:rsid w:val="006C06A2"/>
    <w:rsid w:val="006C1F5C"/>
    <w:rsid w:val="006C21AE"/>
    <w:rsid w:val="006D721A"/>
    <w:rsid w:val="006E4F8F"/>
    <w:rsid w:val="006E59E4"/>
    <w:rsid w:val="006F1EB9"/>
    <w:rsid w:val="006F1F37"/>
    <w:rsid w:val="006F32CE"/>
    <w:rsid w:val="006F4D04"/>
    <w:rsid w:val="006F4F70"/>
    <w:rsid w:val="00702594"/>
    <w:rsid w:val="00707981"/>
    <w:rsid w:val="007220CD"/>
    <w:rsid w:val="00725196"/>
    <w:rsid w:val="00733128"/>
    <w:rsid w:val="00734990"/>
    <w:rsid w:val="0074149A"/>
    <w:rsid w:val="0074171C"/>
    <w:rsid w:val="007452F0"/>
    <w:rsid w:val="00750DF5"/>
    <w:rsid w:val="00754AA5"/>
    <w:rsid w:val="00755940"/>
    <w:rsid w:val="00756B91"/>
    <w:rsid w:val="007576A0"/>
    <w:rsid w:val="00760A4F"/>
    <w:rsid w:val="00766B87"/>
    <w:rsid w:val="00771E58"/>
    <w:rsid w:val="007815CE"/>
    <w:rsid w:val="0078201C"/>
    <w:rsid w:val="007868B8"/>
    <w:rsid w:val="007878F3"/>
    <w:rsid w:val="007929B6"/>
    <w:rsid w:val="0079726A"/>
    <w:rsid w:val="007A129A"/>
    <w:rsid w:val="007B0EBD"/>
    <w:rsid w:val="007B59D7"/>
    <w:rsid w:val="007C0495"/>
    <w:rsid w:val="007C1C74"/>
    <w:rsid w:val="007C4065"/>
    <w:rsid w:val="007C5485"/>
    <w:rsid w:val="007C58D0"/>
    <w:rsid w:val="007D0996"/>
    <w:rsid w:val="007D7E58"/>
    <w:rsid w:val="007E09D1"/>
    <w:rsid w:val="007E1400"/>
    <w:rsid w:val="007E50C9"/>
    <w:rsid w:val="007F28C6"/>
    <w:rsid w:val="007F3B5E"/>
    <w:rsid w:val="007F55A2"/>
    <w:rsid w:val="007F7149"/>
    <w:rsid w:val="0080056D"/>
    <w:rsid w:val="00813D0F"/>
    <w:rsid w:val="00814069"/>
    <w:rsid w:val="00816E2B"/>
    <w:rsid w:val="0081737A"/>
    <w:rsid w:val="008202F2"/>
    <w:rsid w:val="008218C8"/>
    <w:rsid w:val="00821D6D"/>
    <w:rsid w:val="00821FD3"/>
    <w:rsid w:val="0082656F"/>
    <w:rsid w:val="008303A7"/>
    <w:rsid w:val="00836C54"/>
    <w:rsid w:val="008461DD"/>
    <w:rsid w:val="0085029B"/>
    <w:rsid w:val="00851A37"/>
    <w:rsid w:val="00855519"/>
    <w:rsid w:val="00855645"/>
    <w:rsid w:val="00856598"/>
    <w:rsid w:val="00863B5B"/>
    <w:rsid w:val="00877DEE"/>
    <w:rsid w:val="00887C21"/>
    <w:rsid w:val="008A23DC"/>
    <w:rsid w:val="008A2D51"/>
    <w:rsid w:val="008B131C"/>
    <w:rsid w:val="008B5272"/>
    <w:rsid w:val="008C05B5"/>
    <w:rsid w:val="008C33BB"/>
    <w:rsid w:val="008C5E5E"/>
    <w:rsid w:val="008C749A"/>
    <w:rsid w:val="008D5D8A"/>
    <w:rsid w:val="008D78AC"/>
    <w:rsid w:val="008E1229"/>
    <w:rsid w:val="008E38DA"/>
    <w:rsid w:val="008E6BF6"/>
    <w:rsid w:val="008E7F02"/>
    <w:rsid w:val="008F2931"/>
    <w:rsid w:val="008F47C2"/>
    <w:rsid w:val="009045A4"/>
    <w:rsid w:val="009048AE"/>
    <w:rsid w:val="009055EB"/>
    <w:rsid w:val="0091200C"/>
    <w:rsid w:val="009154A4"/>
    <w:rsid w:val="00920B99"/>
    <w:rsid w:val="0092445F"/>
    <w:rsid w:val="00926D08"/>
    <w:rsid w:val="00930770"/>
    <w:rsid w:val="009317FA"/>
    <w:rsid w:val="00934CA6"/>
    <w:rsid w:val="009400B7"/>
    <w:rsid w:val="009420D6"/>
    <w:rsid w:val="00944E70"/>
    <w:rsid w:val="009547F1"/>
    <w:rsid w:val="00956ED4"/>
    <w:rsid w:val="00964614"/>
    <w:rsid w:val="0096659F"/>
    <w:rsid w:val="00981DEE"/>
    <w:rsid w:val="00982066"/>
    <w:rsid w:val="009927D5"/>
    <w:rsid w:val="009944DF"/>
    <w:rsid w:val="0099594C"/>
    <w:rsid w:val="0099696C"/>
    <w:rsid w:val="009A20B8"/>
    <w:rsid w:val="009B2215"/>
    <w:rsid w:val="009B7DB6"/>
    <w:rsid w:val="009C1E70"/>
    <w:rsid w:val="009C2F97"/>
    <w:rsid w:val="009C3F8F"/>
    <w:rsid w:val="009D384C"/>
    <w:rsid w:val="009D395B"/>
    <w:rsid w:val="009D56B1"/>
    <w:rsid w:val="009E04C4"/>
    <w:rsid w:val="009E182E"/>
    <w:rsid w:val="009E5EA6"/>
    <w:rsid w:val="009F29DB"/>
    <w:rsid w:val="009F4BD9"/>
    <w:rsid w:val="00A11A3A"/>
    <w:rsid w:val="00A144A9"/>
    <w:rsid w:val="00A167CD"/>
    <w:rsid w:val="00A21926"/>
    <w:rsid w:val="00A2350F"/>
    <w:rsid w:val="00A252F1"/>
    <w:rsid w:val="00A2693A"/>
    <w:rsid w:val="00A31C57"/>
    <w:rsid w:val="00A3262A"/>
    <w:rsid w:val="00A3312B"/>
    <w:rsid w:val="00A35E08"/>
    <w:rsid w:val="00A461FB"/>
    <w:rsid w:val="00A64176"/>
    <w:rsid w:val="00A67B29"/>
    <w:rsid w:val="00A765CE"/>
    <w:rsid w:val="00A85431"/>
    <w:rsid w:val="00A864D5"/>
    <w:rsid w:val="00A8713D"/>
    <w:rsid w:val="00A917BD"/>
    <w:rsid w:val="00A959D8"/>
    <w:rsid w:val="00AB411F"/>
    <w:rsid w:val="00AC3EBA"/>
    <w:rsid w:val="00AC4833"/>
    <w:rsid w:val="00AF349B"/>
    <w:rsid w:val="00B05A05"/>
    <w:rsid w:val="00B07011"/>
    <w:rsid w:val="00B1087F"/>
    <w:rsid w:val="00B16517"/>
    <w:rsid w:val="00B275B5"/>
    <w:rsid w:val="00B359E9"/>
    <w:rsid w:val="00B5061E"/>
    <w:rsid w:val="00B50B85"/>
    <w:rsid w:val="00B6153C"/>
    <w:rsid w:val="00B62E05"/>
    <w:rsid w:val="00B83CBF"/>
    <w:rsid w:val="00B83FF2"/>
    <w:rsid w:val="00B90752"/>
    <w:rsid w:val="00B92F5A"/>
    <w:rsid w:val="00B94C6A"/>
    <w:rsid w:val="00B978DF"/>
    <w:rsid w:val="00BA1DFD"/>
    <w:rsid w:val="00BA4BCE"/>
    <w:rsid w:val="00BA5793"/>
    <w:rsid w:val="00BA712E"/>
    <w:rsid w:val="00BB0D35"/>
    <w:rsid w:val="00BB6ECE"/>
    <w:rsid w:val="00BD5A12"/>
    <w:rsid w:val="00BE49AF"/>
    <w:rsid w:val="00BF6758"/>
    <w:rsid w:val="00BF7763"/>
    <w:rsid w:val="00C06C59"/>
    <w:rsid w:val="00C0776A"/>
    <w:rsid w:val="00C113CF"/>
    <w:rsid w:val="00C24BD1"/>
    <w:rsid w:val="00C25149"/>
    <w:rsid w:val="00C277BB"/>
    <w:rsid w:val="00C318F3"/>
    <w:rsid w:val="00C35F46"/>
    <w:rsid w:val="00C371FF"/>
    <w:rsid w:val="00C413CA"/>
    <w:rsid w:val="00C43E9A"/>
    <w:rsid w:val="00C443A6"/>
    <w:rsid w:val="00C56E09"/>
    <w:rsid w:val="00C61DEB"/>
    <w:rsid w:val="00C77D0B"/>
    <w:rsid w:val="00C86276"/>
    <w:rsid w:val="00C90265"/>
    <w:rsid w:val="00C929FE"/>
    <w:rsid w:val="00C92BEF"/>
    <w:rsid w:val="00C94772"/>
    <w:rsid w:val="00C95005"/>
    <w:rsid w:val="00CA4650"/>
    <w:rsid w:val="00CA6B81"/>
    <w:rsid w:val="00CA79C5"/>
    <w:rsid w:val="00CC44A0"/>
    <w:rsid w:val="00CD43E7"/>
    <w:rsid w:val="00CD6D98"/>
    <w:rsid w:val="00CD73D6"/>
    <w:rsid w:val="00CF3153"/>
    <w:rsid w:val="00CF51F5"/>
    <w:rsid w:val="00D07901"/>
    <w:rsid w:val="00D07974"/>
    <w:rsid w:val="00D16F81"/>
    <w:rsid w:val="00D3744C"/>
    <w:rsid w:val="00D40B2A"/>
    <w:rsid w:val="00D50273"/>
    <w:rsid w:val="00D55421"/>
    <w:rsid w:val="00D6056B"/>
    <w:rsid w:val="00D62BA5"/>
    <w:rsid w:val="00D63C42"/>
    <w:rsid w:val="00D65445"/>
    <w:rsid w:val="00D701D9"/>
    <w:rsid w:val="00D71335"/>
    <w:rsid w:val="00D71B32"/>
    <w:rsid w:val="00D80858"/>
    <w:rsid w:val="00D97477"/>
    <w:rsid w:val="00DA214F"/>
    <w:rsid w:val="00DA43C3"/>
    <w:rsid w:val="00DC580C"/>
    <w:rsid w:val="00DD237A"/>
    <w:rsid w:val="00DD2874"/>
    <w:rsid w:val="00DD7BAA"/>
    <w:rsid w:val="00DE2EF3"/>
    <w:rsid w:val="00E01349"/>
    <w:rsid w:val="00E03B06"/>
    <w:rsid w:val="00E03CD7"/>
    <w:rsid w:val="00E13417"/>
    <w:rsid w:val="00E13C58"/>
    <w:rsid w:val="00E222B2"/>
    <w:rsid w:val="00E26A74"/>
    <w:rsid w:val="00E336C8"/>
    <w:rsid w:val="00E37D34"/>
    <w:rsid w:val="00E41749"/>
    <w:rsid w:val="00E4348F"/>
    <w:rsid w:val="00E44580"/>
    <w:rsid w:val="00E45968"/>
    <w:rsid w:val="00E47DE4"/>
    <w:rsid w:val="00E553D8"/>
    <w:rsid w:val="00E60515"/>
    <w:rsid w:val="00E62E02"/>
    <w:rsid w:val="00E64EB4"/>
    <w:rsid w:val="00E71881"/>
    <w:rsid w:val="00E755FE"/>
    <w:rsid w:val="00E85A19"/>
    <w:rsid w:val="00E85A63"/>
    <w:rsid w:val="00E911C4"/>
    <w:rsid w:val="00E91E43"/>
    <w:rsid w:val="00E9461E"/>
    <w:rsid w:val="00EA07A3"/>
    <w:rsid w:val="00EB31F3"/>
    <w:rsid w:val="00EB7ECC"/>
    <w:rsid w:val="00EC191D"/>
    <w:rsid w:val="00EC3CB4"/>
    <w:rsid w:val="00ED0CAC"/>
    <w:rsid w:val="00ED6EEB"/>
    <w:rsid w:val="00EE010A"/>
    <w:rsid w:val="00EF3CE0"/>
    <w:rsid w:val="00F0196C"/>
    <w:rsid w:val="00F12657"/>
    <w:rsid w:val="00F17819"/>
    <w:rsid w:val="00F26256"/>
    <w:rsid w:val="00F2685B"/>
    <w:rsid w:val="00F434DB"/>
    <w:rsid w:val="00F4645E"/>
    <w:rsid w:val="00F67D83"/>
    <w:rsid w:val="00F754D4"/>
    <w:rsid w:val="00F75665"/>
    <w:rsid w:val="00F75F41"/>
    <w:rsid w:val="00F76643"/>
    <w:rsid w:val="00F76DD6"/>
    <w:rsid w:val="00F81452"/>
    <w:rsid w:val="00F84525"/>
    <w:rsid w:val="00F859E5"/>
    <w:rsid w:val="00F8680C"/>
    <w:rsid w:val="00F87270"/>
    <w:rsid w:val="00F94815"/>
    <w:rsid w:val="00FA1DFA"/>
    <w:rsid w:val="00FA3B6B"/>
    <w:rsid w:val="00FB38D5"/>
    <w:rsid w:val="00FB534C"/>
    <w:rsid w:val="00FC3CC3"/>
    <w:rsid w:val="00FE1216"/>
    <w:rsid w:val="00FF15FD"/>
    <w:rsid w:val="00FF3093"/>
    <w:rsid w:val="00FF6B9E"/>
    <w:rsid w:val="4DDB77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4F5772"/>
  <w15:docId w15:val="{EEF10FDC-233C-43A8-9376-471BAE864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76" w:lineRule="auto"/>
      <w:jc w:val="both"/>
    </w:pPr>
    <w:rPr>
      <w:rFonts w:ascii="Times New Roman" w:hAnsi="Times New Roman"/>
      <w:sz w:val="18"/>
      <w:szCs w:val="24"/>
      <w:lang w:val="en-US" w:eastAsia="en-US"/>
    </w:rPr>
  </w:style>
  <w:style w:type="paragraph" w:styleId="Heading1">
    <w:name w:val="heading 1"/>
    <w:basedOn w:val="Normal"/>
    <w:next w:val="Normal"/>
    <w:link w:val="Heading1Char"/>
    <w:uiPriority w:val="9"/>
    <w:qFormat/>
    <w:pPr>
      <w:keepNext/>
      <w:keepLines/>
      <w:numPr>
        <w:numId w:val="1"/>
      </w:numPr>
      <w:spacing w:before="240" w:after="240"/>
      <w:jc w:val="left"/>
      <w:outlineLvl w:val="0"/>
    </w:pPr>
    <w:rPr>
      <w:rFonts w:eastAsiaTheme="majorEastAsia" w:cstheme="majorBidi"/>
      <w:b/>
      <w:bCs/>
      <w:sz w:val="21"/>
      <w:szCs w:val="32"/>
      <w:lang w:val="id-ID"/>
    </w:rPr>
  </w:style>
  <w:style w:type="paragraph" w:styleId="Heading2">
    <w:name w:val="heading 2"/>
    <w:basedOn w:val="Heading1"/>
    <w:next w:val="Normal"/>
    <w:link w:val="Heading2Char"/>
    <w:uiPriority w:val="9"/>
    <w:unhideWhenUsed/>
    <w:qFormat/>
    <w:pPr>
      <w:numPr>
        <w:ilvl w:val="1"/>
      </w:numPr>
      <w:spacing w:before="120" w:after="120"/>
      <w:ind w:left="567" w:hanging="567"/>
      <w:outlineLvl w:val="1"/>
    </w:pPr>
    <w:rPr>
      <w:bCs w:val="0"/>
      <w:i/>
      <w:iCs/>
      <w:sz w:val="20"/>
      <w:szCs w:val="26"/>
    </w:rPr>
  </w:style>
  <w:style w:type="paragraph" w:styleId="Heading3">
    <w:name w:val="heading 3"/>
    <w:basedOn w:val="Heading2"/>
    <w:next w:val="Normal"/>
    <w:link w:val="Heading3Char"/>
    <w:uiPriority w:val="9"/>
    <w:unhideWhenUsed/>
    <w:qFormat/>
    <w:pPr>
      <w:numPr>
        <w:ilvl w:val="2"/>
      </w:numPr>
      <w:ind w:left="720" w:hanging="720"/>
      <w:outlineLvl w:val="2"/>
    </w:pPr>
    <w:rPr>
      <w:b w:val="0"/>
    </w:rPr>
  </w:style>
  <w:style w:type="paragraph" w:styleId="Heading4">
    <w:name w:val="heading 4"/>
    <w:basedOn w:val="Normal"/>
    <w:next w:val="Normal"/>
    <w:link w:val="Heading4Char"/>
    <w:uiPriority w:val="9"/>
    <w:unhideWhenUsed/>
    <w:qFormat/>
    <w:pPr>
      <w:numPr>
        <w:ilvl w:val="3"/>
        <w:numId w:val="2"/>
      </w:numPr>
      <w:tabs>
        <w:tab w:val="left" w:pos="821"/>
      </w:tabs>
      <w:spacing w:before="40" w:after="40" w:line="240" w:lineRule="auto"/>
      <w:ind w:firstLine="504"/>
      <w:outlineLvl w:val="3"/>
    </w:pPr>
    <w:rPr>
      <w:rFonts w:eastAsia="MS Mincho" w:cs="Times New Roman"/>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line="240" w:lineRule="auto"/>
    </w:pPr>
    <w:rPr>
      <w:rFonts w:ascii="Tahoma" w:hAnsi="Tahoma" w:cs="Tahoma"/>
      <w:sz w:val="16"/>
      <w:szCs w:val="16"/>
    </w:rPr>
  </w:style>
  <w:style w:type="character" w:styleId="FollowedHyperlink">
    <w:name w:val="FollowedHyperlink"/>
    <w:basedOn w:val="DefaultParagraphFont"/>
    <w:uiPriority w:val="99"/>
    <w:semiHidden/>
    <w:unhideWhenUsed/>
    <w:qFormat/>
    <w:rPr>
      <w:color w:val="954F72" w:themeColor="followedHyperlink"/>
      <w:u w:val="single"/>
    </w:rPr>
  </w:style>
  <w:style w:type="paragraph" w:styleId="Footer">
    <w:name w:val="footer"/>
    <w:basedOn w:val="Normal"/>
    <w:link w:val="FooterChar"/>
    <w:uiPriority w:val="99"/>
    <w:unhideWhenUsed/>
    <w:qFormat/>
    <w:pPr>
      <w:tabs>
        <w:tab w:val="center" w:pos="4680"/>
        <w:tab w:val="right" w:pos="9360"/>
      </w:tabs>
    </w:pPr>
  </w:style>
  <w:style w:type="paragraph" w:styleId="Header">
    <w:name w:val="header"/>
    <w:basedOn w:val="Normal"/>
    <w:link w:val="HeaderChar"/>
    <w:uiPriority w:val="99"/>
    <w:unhideWhenUsed/>
    <w:qFormat/>
    <w:pPr>
      <w:tabs>
        <w:tab w:val="center" w:pos="4680"/>
        <w:tab w:val="right" w:pos="9360"/>
      </w:tabs>
    </w:pPr>
  </w:style>
  <w:style w:type="character" w:styleId="Hyperlink">
    <w:name w:val="Hyperlink"/>
    <w:basedOn w:val="DefaultParagraphFont"/>
    <w:uiPriority w:val="99"/>
    <w:unhideWhenUsed/>
    <w:qFormat/>
    <w:rPr>
      <w:color w:val="0563C1" w:themeColor="hyperlink"/>
      <w:u w:val="single"/>
    </w:rPr>
  </w:style>
  <w:style w:type="character" w:styleId="PageNumber">
    <w:name w:val="page number"/>
    <w:basedOn w:val="DefaultParagraphFont"/>
    <w:uiPriority w:val="99"/>
    <w:semiHidden/>
    <w:unhideWhenUsed/>
    <w:qFormat/>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spacing w:before="120" w:after="120"/>
      <w:contextualSpacing/>
    </w:pPr>
    <w:rPr>
      <w:rFonts w:eastAsiaTheme="majorEastAsia" w:cstheme="majorBidi"/>
      <w:spacing w:val="-10"/>
      <w:kern w:val="28"/>
      <w:sz w:val="32"/>
      <w:szCs w:val="56"/>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style>
  <w:style w:type="character" w:customStyle="1" w:styleId="TitleChar">
    <w:name w:val="Title Char"/>
    <w:basedOn w:val="DefaultParagraphFont"/>
    <w:link w:val="Title"/>
    <w:uiPriority w:val="10"/>
    <w:rPr>
      <w:rFonts w:ascii="Times New Roman" w:eastAsiaTheme="majorEastAsia" w:hAnsi="Times New Roman" w:cstheme="majorBidi"/>
      <w:spacing w:val="-10"/>
      <w:kern w:val="28"/>
      <w:sz w:val="32"/>
      <w:szCs w:val="56"/>
    </w:rPr>
  </w:style>
  <w:style w:type="paragraph" w:customStyle="1" w:styleId="Author">
    <w:name w:val="Author"/>
    <w:basedOn w:val="Normal"/>
    <w:next w:val="Normal"/>
    <w:qFormat/>
    <w:pPr>
      <w:spacing w:before="120" w:after="120"/>
    </w:pPr>
    <w:rPr>
      <w:rFonts w:cs="Times New Roman"/>
      <w:i/>
      <w:sz w:val="24"/>
    </w:rPr>
  </w:style>
  <w:style w:type="paragraph" w:customStyle="1" w:styleId="Affiliation">
    <w:name w:val="Affiliation"/>
    <w:basedOn w:val="Normal"/>
    <w:next w:val="Normal"/>
    <w:qFormat/>
    <w:rPr>
      <w:i/>
      <w:sz w:val="16"/>
      <w:szCs w:val="18"/>
    </w:rPr>
  </w:style>
  <w:style w:type="paragraph" w:customStyle="1" w:styleId="Abstract">
    <w:name w:val="Abstract"/>
    <w:basedOn w:val="Normal"/>
    <w:next w:val="Normal"/>
    <w:qFormat/>
    <w:pPr>
      <w:spacing w:before="120" w:after="120"/>
      <w:jc w:val="left"/>
    </w:pPr>
    <w:rPr>
      <w:sz w:val="15"/>
    </w:rPr>
  </w:style>
  <w:style w:type="character" w:customStyle="1" w:styleId="Heading1Char">
    <w:name w:val="Heading 1 Char"/>
    <w:basedOn w:val="DefaultParagraphFont"/>
    <w:link w:val="Heading1"/>
    <w:uiPriority w:val="9"/>
    <w:qFormat/>
    <w:rPr>
      <w:rFonts w:ascii="Times New Roman" w:eastAsiaTheme="majorEastAsia" w:hAnsi="Times New Roman" w:cstheme="majorBidi"/>
      <w:b/>
      <w:bCs/>
      <w:sz w:val="21"/>
      <w:szCs w:val="32"/>
      <w:lang w:val="id-ID"/>
    </w:rPr>
  </w:style>
  <w:style w:type="character" w:customStyle="1" w:styleId="Heading2Char">
    <w:name w:val="Heading 2 Char"/>
    <w:basedOn w:val="DefaultParagraphFont"/>
    <w:link w:val="Heading2"/>
    <w:uiPriority w:val="9"/>
    <w:qFormat/>
    <w:rPr>
      <w:rFonts w:ascii="Times New Roman" w:eastAsiaTheme="majorEastAsia" w:hAnsi="Times New Roman" w:cstheme="majorBidi"/>
      <w:b/>
      <w:i/>
      <w:iCs/>
      <w:sz w:val="20"/>
      <w:szCs w:val="26"/>
      <w:lang w:val="id-ID"/>
    </w:rPr>
  </w:style>
  <w:style w:type="character" w:customStyle="1" w:styleId="Heading3Char">
    <w:name w:val="Heading 3 Char"/>
    <w:basedOn w:val="DefaultParagraphFont"/>
    <w:link w:val="Heading3"/>
    <w:uiPriority w:val="9"/>
    <w:qFormat/>
    <w:rPr>
      <w:rFonts w:ascii="Times New Roman" w:eastAsiaTheme="majorEastAsia" w:hAnsi="Times New Roman" w:cstheme="majorBidi"/>
      <w:i/>
      <w:iCs/>
      <w:sz w:val="20"/>
      <w:szCs w:val="26"/>
      <w:lang w:val="id-ID"/>
    </w:rPr>
  </w:style>
  <w:style w:type="paragraph" w:customStyle="1" w:styleId="Els-equation">
    <w:name w:val="Els-equation"/>
    <w:next w:val="Normal"/>
    <w:qFormat/>
    <w:pPr>
      <w:widowControl w:val="0"/>
      <w:tabs>
        <w:tab w:val="right" w:pos="4320"/>
        <w:tab w:val="right" w:pos="9120"/>
      </w:tabs>
      <w:spacing w:before="230" w:after="230" w:line="360" w:lineRule="auto"/>
    </w:pPr>
    <w:rPr>
      <w:rFonts w:ascii="Times New Roman" w:eastAsia="SimSun" w:hAnsi="Times New Roman" w:cs="Times New Roman"/>
      <w:i/>
      <w:sz w:val="16"/>
      <w:lang w:val="en-US" w:eastAsia="en-US"/>
    </w:rPr>
  </w:style>
  <w:style w:type="paragraph" w:customStyle="1" w:styleId="Acknowledgement">
    <w:name w:val="Acknowledgement"/>
    <w:basedOn w:val="Heading1"/>
    <w:qFormat/>
    <w:pPr>
      <w:numPr>
        <w:numId w:val="0"/>
      </w:numPr>
    </w:pPr>
  </w:style>
  <w:style w:type="paragraph" w:styleId="ListParagraph">
    <w:name w:val="List Paragraph"/>
    <w:basedOn w:val="Normal"/>
    <w:uiPriority w:val="34"/>
    <w:qFormat/>
    <w:pPr>
      <w:ind w:left="720"/>
      <w:contextualSpacing/>
    </w:p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character" w:customStyle="1" w:styleId="Heading4Char">
    <w:name w:val="Heading 4 Char"/>
    <w:basedOn w:val="DefaultParagraphFont"/>
    <w:link w:val="Heading4"/>
    <w:uiPriority w:val="9"/>
    <w:qFormat/>
    <w:rPr>
      <w:rFonts w:ascii="Times New Roman" w:eastAsia="MS Mincho" w:hAnsi="Times New Roman" w:cs="Times New Roman"/>
      <w:i/>
      <w:iCs/>
      <w:sz w:val="20"/>
      <w:szCs w:val="20"/>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paragraph" w:customStyle="1" w:styleId="E-JournalBody">
    <w:name w:val="E-Journal_Body"/>
    <w:basedOn w:val="Normal"/>
    <w:qFormat/>
    <w:pPr>
      <w:spacing w:line="240" w:lineRule="auto"/>
      <w:ind w:firstLine="743"/>
    </w:pPr>
    <w:rPr>
      <w:rFonts w:eastAsia="Times New Roman" w:cs="Times New Roman"/>
      <w:sz w:val="22"/>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7.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ijert.org"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6.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s://doi.org/10.1515/mopa-2014-0012" TargetMode="External"/><Relationship Id="rId10" Type="http://schemas.openxmlformats.org/officeDocument/2006/relationships/footer" Target="footer1.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 Id="rId22" Type="http://schemas.openxmlformats.org/officeDocument/2006/relationships/hyperlink" Target="https://doi.org/10.11113/jt.v77.6667"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6975BF-5910-4601-A2A2-3F9B1CFF13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3768</Words>
  <Characters>21483</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Article Template Jurnal Teknologi dan Manajemen</vt:lpstr>
    </vt:vector>
  </TitlesOfParts>
  <Company>Universitas Andalas</Company>
  <LinksUpToDate>false</LinksUpToDate>
  <CharactersWithSpaces>25201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 Template Jurnal Teknologi dan Manajemen</dc:title>
  <dc:subject>Article Template</dc:subject>
  <dc:creator>Unit P2M Politeknik STMI Jakarta</dc:creator>
  <cp:keywords>JTM, template, artikel, article, template, journal</cp:keywords>
  <dc:description>Article template for authors in preparing their manuscripts to JTM</dc:description>
  <cp:lastModifiedBy>sitiaisyah</cp:lastModifiedBy>
  <cp:revision>2</cp:revision>
  <cp:lastPrinted>2017-05-02T01:56:00Z</cp:lastPrinted>
  <dcterms:created xsi:type="dcterms:W3CDTF">2026-08-31T03:48:00Z</dcterms:created>
  <dcterms:modified xsi:type="dcterms:W3CDTF">2026-08-31T03:48:00Z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699cc4e8-add8-3543-9e99-94301536ecae</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KSOProductBuildVer">
    <vt:lpwstr>1057-12.2.0.23196</vt:lpwstr>
  </property>
  <property fmtid="{D5CDD505-2E9C-101B-9397-08002B2CF9AE}" pid="26" name="ICV">
    <vt:lpwstr>4ABFD4D2A51B48CBAEABA5ACB0E0919A_13</vt:lpwstr>
  </property>
  <property fmtid="{D5CDD505-2E9C-101B-9397-08002B2CF9AE}" pid="27" name="GrammarlyDocumentId">
    <vt:lpwstr>fcce1e20-6884-4089-a99a-57631c376de9</vt:lpwstr>
  </property>
</Properties>
</file>